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2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Werewolf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HOWL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928" w:orient="portrait"/>
          <w:cols w:equalWidth="0" w:num="3">
            <w:col w:w="3380" w:space="540"/>
            <w:col w:w="3240" w:space="575"/>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92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06/17/2026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389,216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0.35</w:t>
            </w:r>
            <w:r>
              <w:rPr>
                <w:rFonts w:ascii="Times New Roman" w:cs="Times New Roman" w:eastAsia="Times New Roman" w:hAnsi="Times New Roman"/>
                <w:sz w:val="22"/>
                <w:szCs w:val="22"/>
                <w:color w:val="008000"/>
                <w:w w:val="99"/>
                <w:vertAlign w:val="superscript"/>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4,268,448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06/17/2026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27,695</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0.35</w:t>
            </w:r>
            <w:r>
              <w:rPr>
                <w:rFonts w:ascii="Times New Roman" w:cs="Times New Roman" w:eastAsia="Times New Roman" w:hAnsi="Times New Roman"/>
                <w:sz w:val="22"/>
                <w:szCs w:val="22"/>
                <w:color w:val="008000"/>
                <w:w w:val="99"/>
                <w:vertAlign w:val="superscript"/>
              </w:rPr>
              <w:t>(1)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303,719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5"/>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RA Capital Healthcare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sz w:val="1"/>
          <w:szCs w:val="1"/>
          <w:color w:val="auto"/>
        </w:rPr>
        <w:drawing>
          <wp:inline distT="0" distB="0" distL="0" distR="0">
            <wp:extent cx="33655" cy="232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3655" cy="2324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2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Kolchinsky Peter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405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9240" cy="3405505"/>
                    </a:xfrm>
                    <a:prstGeom prst="rect">
                      <a:avLst/>
                    </a:prstGeom>
                    <a:noFill/>
                  </pic:spPr>
                </pic:pic>
              </a:graphicData>
            </a:graphic>
          </wp:anchor>
        </w:drawing>
      </w:r>
    </w:p>
    <w:p>
      <w:pPr>
        <w:spacing w:after="0" w:line="314"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$0.34 to $0.39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RA Capital Healthcare Fund, L.P. (the "Fund").</w:t>
      </w:r>
    </w:p>
    <w:p>
      <w:pPr>
        <w:spacing w:after="0" w:line="5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the Fund and RA Capital Nexus Fund II, L.P. (the "Nexus Fund II"). The general partner of the Adviser is RA Capital Management GP, LLC (the "Adviser GP"), of which Dr. Peter Kolchinsky and Mr. Rajeev Shah are the managing members. The Adviser, the Adviser GP, the Fund, Dr. Kolchinsky and Mr. Shah disclaim beneficial ownership of the reported securities,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of RA Capital Management,</w:t>
        <w:tab/>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Fund GP, LLC, the General</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Peter Kolchinsky,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individually</w:t>
            </w:r>
          </w:p>
        </w:tc>
        <w:tc>
          <w:tcPr>
            <w:tcW w:w="6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Rajeev Shah, individually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235"/>
        </w:trPr>
        <w:tc>
          <w:tcPr>
            <w:tcW w:w="21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1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785530" TargetMode="External"/><Relationship Id="rId16" Type="http://schemas.openxmlformats.org/officeDocument/2006/relationships/hyperlink" Target="http://www.sec.gov/cgi-bin/browse-edgar?action=getcompany&amp;CIK=0001315082" TargetMode="External"/><Relationship Id="rId19" Type="http://schemas.openxmlformats.org/officeDocument/2006/relationships/hyperlink" Target="http://www.sec.gov/cgi-bin/browse-edgar?action=getcompany&amp;CIK=0001384859" TargetMode="External"/><Relationship Id="rId21"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2026-06-22T18:00:40Z</dcterms:created>
  <dcterms:modified xsi:type="dcterms:W3CDTF">2026-06-22T18:00:40Z</dcterms:modified>
</cp:coreProperties>
</file>