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609600</wp:posOffset>
            </wp:positionH>
            <wp:positionV relativeFrom="paragraph">
              <wp:posOffset>485775</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column">
              <wp:posOffset>609600</wp:posOffset>
            </wp:positionH>
            <wp:positionV relativeFrom="paragraph">
              <wp:posOffset>511175</wp:posOffset>
            </wp:positionV>
            <wp:extent cx="65913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0" w:lineRule="exact"/>
        <w:rPr>
          <w:sz w:val="24"/>
          <w:szCs w:val="24"/>
          <w:color w:val="auto"/>
        </w:rPr>
      </w:pPr>
    </w:p>
    <w:p>
      <w:pPr>
        <w:ind w:left="4200" w:right="3660" w:hanging="4081"/>
        <w:spacing w:after="0" w:line="393" w:lineRule="auto"/>
        <w:tabs>
          <w:tab w:leader="none" w:pos="40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2026</w:t>
      </w:r>
    </w:p>
    <w:p>
      <w:pPr>
        <w:spacing w:after="0" w:line="17" w:lineRule="exact"/>
        <w:rPr>
          <w:sz w:val="24"/>
          <w:szCs w:val="24"/>
          <w:color w:val="auto"/>
        </w:rPr>
      </w:pPr>
    </w:p>
    <w:p>
      <w:pPr>
        <w:ind w:left="3760" w:right="3640" w:hanging="3622"/>
        <w:spacing w:after="0" w:line="451" w:lineRule="auto"/>
        <w:tabs>
          <w:tab w:leader="none" w:pos="428"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from____________to_____________.</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001-40366</w:t>
      </w:r>
    </w:p>
    <w:p>
      <w:pPr>
        <w:spacing w:after="0" w:line="2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WEREWOLF THERAPEUTICS,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6"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w:t>
      </w:r>
    </w:p>
    <w:p>
      <w:pPr>
        <w:spacing w:after="0" w:line="90" w:lineRule="exact"/>
        <w:rPr>
          <w:sz w:val="24"/>
          <w:szCs w:val="24"/>
          <w:color w:val="auto"/>
        </w:rPr>
      </w:pPr>
    </w:p>
    <w:tbl>
      <w:tblPr>
        <w:tblLayout w:type="fixed"/>
        <w:tblInd w:w="160" w:type="dxa"/>
        <w:tblCellMar>
          <w:top w:w="0" w:type="dxa"/>
          <w:left w:w="0" w:type="dxa"/>
          <w:bottom w:w="0" w:type="dxa"/>
          <w:right w:w="0" w:type="dxa"/>
        </w:tblCellMar>
      </w:tblPr>
      <w:tr>
        <w:trPr>
          <w:trHeight w:val="150"/>
        </w:trPr>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20" w:type="dxa"/>
            <w:vAlign w:val="bottom"/>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500" w:type="dxa"/>
            <w:vAlign w:val="bottom"/>
            <w:gridSpan w:val="2"/>
          </w:tcPr>
          <w:p>
            <w:pPr>
              <w:jc w:val="right"/>
              <w:ind w:right="1603"/>
              <w:spacing w:after="0"/>
              <w:rPr>
                <w:sz w:val="20"/>
                <w:szCs w:val="20"/>
                <w:color w:val="auto"/>
              </w:rPr>
            </w:pPr>
            <w:r>
              <w:rPr>
                <w:rFonts w:ascii="Times New Roman" w:cs="Times New Roman" w:eastAsia="Times New Roman" w:hAnsi="Times New Roman"/>
                <w:sz w:val="11"/>
                <w:szCs w:val="11"/>
                <w:b w:val="1"/>
                <w:bCs w:val="1"/>
                <w:color w:val="auto"/>
              </w:rPr>
              <w:t>82-3523180</w:t>
            </w:r>
          </w:p>
        </w:tc>
      </w:tr>
      <w:tr>
        <w:trPr>
          <w:trHeight w:val="168"/>
        </w:trPr>
        <w:tc>
          <w:tcPr>
            <w:tcW w:w="1300" w:type="dxa"/>
            <w:vAlign w:val="bottom"/>
          </w:tcPr>
          <w:p>
            <w:pPr>
              <w:spacing w:after="0"/>
              <w:rPr>
                <w:sz w:val="14"/>
                <w:szCs w:val="14"/>
                <w:color w:val="auto"/>
              </w:rPr>
            </w:pPr>
          </w:p>
        </w:tc>
        <w:tc>
          <w:tcPr>
            <w:tcW w:w="2340" w:type="dxa"/>
            <w:vAlign w:val="bottom"/>
            <w:gridSpan w:val="2"/>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00" w:type="dxa"/>
            <w:vAlign w:val="bottom"/>
            <w:gridSpan w:val="2"/>
          </w:tcPr>
          <w:p>
            <w:pPr>
              <w:jc w:val="center"/>
              <w:ind w:right="1343"/>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1300" w:type="dxa"/>
            <w:vAlign w:val="bottom"/>
          </w:tcPr>
          <w:p>
            <w:pPr>
              <w:spacing w:after="0"/>
              <w:rPr>
                <w:sz w:val="13"/>
                <w:szCs w:val="13"/>
                <w:color w:val="auto"/>
              </w:rPr>
            </w:pPr>
          </w:p>
        </w:tc>
        <w:tc>
          <w:tcPr>
            <w:tcW w:w="2340" w:type="dxa"/>
            <w:vAlign w:val="bottom"/>
            <w:gridSpan w:val="2"/>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500" w:type="dxa"/>
            <w:vAlign w:val="bottom"/>
            <w:gridSpan w:val="2"/>
          </w:tcPr>
          <w:p>
            <w:pPr>
              <w:jc w:val="center"/>
              <w:ind w:right="1343"/>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358"/>
        </w:trPr>
        <w:tc>
          <w:tcPr>
            <w:tcW w:w="1300" w:type="dxa"/>
            <w:vAlign w:val="bottom"/>
          </w:tcPr>
          <w:p>
            <w:pPr>
              <w:spacing w:after="0"/>
              <w:rPr>
                <w:sz w:val="24"/>
                <w:szCs w:val="24"/>
                <w:color w:val="auto"/>
              </w:rPr>
            </w:pPr>
          </w:p>
        </w:tc>
        <w:tc>
          <w:tcPr>
            <w:tcW w:w="2340" w:type="dxa"/>
            <w:vAlign w:val="bottom"/>
            <w:gridSpan w:val="2"/>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200 Talcott Ave, 2nd Floor</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86"/>
        </w:trPr>
        <w:tc>
          <w:tcPr>
            <w:tcW w:w="1300" w:type="dxa"/>
            <w:vAlign w:val="bottom"/>
          </w:tcPr>
          <w:p>
            <w:pPr>
              <w:spacing w:after="0"/>
              <w:rPr>
                <w:sz w:val="16"/>
                <w:szCs w:val="16"/>
                <w:color w:val="auto"/>
              </w:rPr>
            </w:pPr>
          </w:p>
        </w:tc>
        <w:tc>
          <w:tcPr>
            <w:tcW w:w="2340" w:type="dxa"/>
            <w:vAlign w:val="bottom"/>
            <w:gridSpan w:val="2"/>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Watertown, Massachusetts</w:t>
            </w:r>
          </w:p>
        </w:tc>
        <w:tc>
          <w:tcPr>
            <w:tcW w:w="1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00" w:type="dxa"/>
            <w:vAlign w:val="bottom"/>
            <w:gridSpan w:val="2"/>
          </w:tcPr>
          <w:p>
            <w:pPr>
              <w:jc w:val="right"/>
              <w:ind w:right="1743"/>
              <w:spacing w:after="0"/>
              <w:rPr>
                <w:sz w:val="20"/>
                <w:szCs w:val="20"/>
                <w:color w:val="auto"/>
              </w:rPr>
            </w:pPr>
            <w:r>
              <w:rPr>
                <w:rFonts w:ascii="Times New Roman" w:cs="Times New Roman" w:eastAsia="Times New Roman" w:hAnsi="Times New Roman"/>
                <w:sz w:val="11"/>
                <w:szCs w:val="11"/>
                <w:b w:val="1"/>
                <w:bCs w:val="1"/>
                <w:color w:val="auto"/>
              </w:rPr>
              <w:t>02472</w:t>
            </w:r>
          </w:p>
        </w:tc>
      </w:tr>
      <w:tr>
        <w:trPr>
          <w:trHeight w:val="199"/>
        </w:trPr>
        <w:tc>
          <w:tcPr>
            <w:tcW w:w="1300" w:type="dxa"/>
            <w:vAlign w:val="bottom"/>
          </w:tcPr>
          <w:p>
            <w:pPr>
              <w:spacing w:after="0"/>
              <w:rPr>
                <w:sz w:val="17"/>
                <w:szCs w:val="17"/>
                <w:color w:val="auto"/>
              </w:rPr>
            </w:pPr>
          </w:p>
        </w:tc>
        <w:tc>
          <w:tcPr>
            <w:tcW w:w="2340" w:type="dxa"/>
            <w:vAlign w:val="bottom"/>
            <w:gridSpan w:val="2"/>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500" w:type="dxa"/>
            <w:vAlign w:val="bottom"/>
            <w:gridSpan w:val="2"/>
          </w:tcPr>
          <w:p>
            <w:pPr>
              <w:jc w:val="center"/>
              <w:ind w:right="1343"/>
              <w:spacing w:after="0"/>
              <w:rPr>
                <w:sz w:val="20"/>
                <w:szCs w:val="20"/>
                <w:color w:val="auto"/>
              </w:rPr>
            </w:pPr>
            <w:r>
              <w:rPr>
                <w:rFonts w:ascii="Times New Roman" w:cs="Times New Roman" w:eastAsia="Times New Roman" w:hAnsi="Times New Roman"/>
                <w:sz w:val="11"/>
                <w:szCs w:val="11"/>
                <w:b w:val="1"/>
                <w:bCs w:val="1"/>
                <w:color w:val="auto"/>
              </w:rPr>
              <w:t>(Zip Code)</w:t>
            </w:r>
          </w:p>
        </w:tc>
      </w:tr>
      <w:tr>
        <w:trPr>
          <w:trHeight w:val="366"/>
        </w:trPr>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80" w:type="dxa"/>
            <w:vAlign w:val="bottom"/>
            <w:gridSpan w:val="3"/>
          </w:tcPr>
          <w:p>
            <w:pPr>
              <w:jc w:val="center"/>
              <w:ind w:right="440"/>
              <w:spacing w:after="0" w:line="138" w:lineRule="exact"/>
              <w:rPr>
                <w:sz w:val="20"/>
                <w:szCs w:val="20"/>
                <w:color w:val="auto"/>
              </w:rPr>
            </w:pPr>
            <w:r>
              <w:rPr>
                <w:rFonts w:ascii="Times New Roman" w:cs="Times New Roman" w:eastAsia="Times New Roman" w:hAnsi="Times New Roman"/>
                <w:sz w:val="12"/>
                <w:szCs w:val="12"/>
                <w:b w:val="1"/>
                <w:bCs w:val="1"/>
                <w:color w:val="auto"/>
              </w:rPr>
              <w:t>Registrant’s telephone number, including area code: (617) 952</w:t>
            </w:r>
            <w:r>
              <w:rPr>
                <w:rFonts w:ascii="MS PGothic" w:cs="MS PGothic" w:eastAsia="MS PGothic" w:hAnsi="MS PGothic"/>
                <w:sz w:val="12"/>
                <w:szCs w:val="12"/>
                <w:color w:val="auto"/>
                <w:strike w:val="1"/>
              </w:rPr>
              <w:t>‑</w:t>
            </w:r>
            <w:r>
              <w:rPr>
                <w:rFonts w:ascii="Times New Roman" w:cs="Times New Roman" w:eastAsia="Times New Roman" w:hAnsi="Times New Roman"/>
                <w:sz w:val="12"/>
                <w:szCs w:val="12"/>
                <w:b w:val="1"/>
                <w:bCs w:val="1"/>
                <w:color w:val="auto"/>
              </w:rPr>
              <w:t>0555</w:t>
            </w: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45"/>
        </w:trPr>
        <w:tc>
          <w:tcPr>
            <w:tcW w:w="1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0" w:type="dxa"/>
            <w:vAlign w:val="bottom"/>
            <w:gridSpan w:val="4"/>
          </w:tcPr>
          <w:p>
            <w:pPr>
              <w:jc w:val="center"/>
              <w:ind w:left="1040"/>
              <w:spacing w:after="0"/>
              <w:rPr>
                <w:sz w:val="20"/>
                <w:szCs w:val="20"/>
                <w:color w:val="auto"/>
              </w:rPr>
            </w:pPr>
            <w:r>
              <w:rPr>
                <w:rFonts w:ascii="Times New Roman" w:cs="Times New Roman" w:eastAsia="Times New Roman" w:hAnsi="Times New Roman"/>
                <w:sz w:val="12"/>
                <w:szCs w:val="12"/>
                <w:b w:val="1"/>
                <w:bCs w:val="1"/>
                <w:color w:val="auto"/>
              </w:rPr>
              <w:t>(Former name, former address and former fiscal year, if changed since last report)</w:t>
            </w:r>
          </w:p>
        </w:tc>
        <w:tc>
          <w:tcPr>
            <w:tcW w:w="48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52"/>
        </w:trPr>
        <w:tc>
          <w:tcPr>
            <w:tcW w:w="36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69"/>
        </w:trPr>
        <w:tc>
          <w:tcPr>
            <w:tcW w:w="1300" w:type="dxa"/>
            <w:vAlign w:val="bottom"/>
          </w:tcPr>
          <w:p>
            <w:pPr>
              <w:spacing w:after="0"/>
              <w:rPr>
                <w:sz w:val="23"/>
                <w:szCs w:val="23"/>
                <w:color w:val="auto"/>
              </w:rPr>
            </w:pPr>
          </w:p>
        </w:tc>
        <w:tc>
          <w:tcPr>
            <w:tcW w:w="2340" w:type="dxa"/>
            <w:vAlign w:val="bottom"/>
            <w:gridSpan w:val="2"/>
          </w:tcPr>
          <w:p>
            <w:pPr>
              <w:jc w:val="center"/>
              <w:ind w:right="1460"/>
              <w:spacing w:after="0"/>
              <w:rPr>
                <w:sz w:val="20"/>
                <w:szCs w:val="20"/>
                <w:color w:val="auto"/>
              </w:rPr>
            </w:pPr>
            <w:r>
              <w:rPr>
                <w:rFonts w:ascii="Times New Roman" w:cs="Times New Roman" w:eastAsia="Times New Roman" w:hAnsi="Times New Roman"/>
                <w:sz w:val="11"/>
                <w:szCs w:val="11"/>
                <w:color w:val="auto"/>
              </w:rPr>
              <w:t>Title of each class</w:t>
            </w:r>
          </w:p>
        </w:tc>
        <w:tc>
          <w:tcPr>
            <w:tcW w:w="4080" w:type="dxa"/>
            <w:vAlign w:val="bottom"/>
            <w:gridSpan w:val="3"/>
          </w:tcPr>
          <w:p>
            <w:pPr>
              <w:jc w:val="center"/>
              <w:ind w:right="440"/>
              <w:spacing w:after="0"/>
              <w:rPr>
                <w:sz w:val="20"/>
                <w:szCs w:val="20"/>
                <w:color w:val="auto"/>
              </w:rPr>
            </w:pPr>
            <w:r>
              <w:rPr>
                <w:rFonts w:ascii="Times New Roman" w:cs="Times New Roman" w:eastAsia="Times New Roman" w:hAnsi="Times New Roman"/>
                <w:sz w:val="11"/>
                <w:szCs w:val="11"/>
                <w:color w:val="auto"/>
              </w:rPr>
              <w:t>Trading Symbol(s)</w:t>
            </w:r>
          </w:p>
        </w:tc>
        <w:tc>
          <w:tcPr>
            <w:tcW w:w="2500" w:type="dxa"/>
            <w:vAlign w:val="bottom"/>
            <w:gridSpan w:val="2"/>
          </w:tcPr>
          <w:p>
            <w:pPr>
              <w:jc w:val="center"/>
              <w:ind w:left="423"/>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20"/>
        </w:trPr>
        <w:tc>
          <w:tcPr>
            <w:tcW w:w="1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173"/>
        </w:trPr>
        <w:tc>
          <w:tcPr>
            <w:tcW w:w="36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color w:val="auto"/>
              </w:rPr>
              <w:t>Common Stock, $0.0001 par value per share</w:t>
            </w:r>
          </w:p>
        </w:tc>
        <w:tc>
          <w:tcPr>
            <w:tcW w:w="1380" w:type="dxa"/>
            <w:vAlign w:val="bottom"/>
          </w:tcPr>
          <w:p>
            <w:pPr>
              <w:spacing w:after="0"/>
              <w:rPr>
                <w:sz w:val="15"/>
                <w:szCs w:val="15"/>
                <w:color w:val="auto"/>
              </w:rPr>
            </w:pPr>
          </w:p>
        </w:tc>
        <w:tc>
          <w:tcPr>
            <w:tcW w:w="2700" w:type="dxa"/>
            <w:vAlign w:val="bottom"/>
            <w:gridSpan w:val="2"/>
          </w:tcPr>
          <w:p>
            <w:pPr>
              <w:jc w:val="center"/>
              <w:ind w:right="1840"/>
              <w:spacing w:after="0"/>
              <w:rPr>
                <w:sz w:val="20"/>
                <w:szCs w:val="20"/>
                <w:color w:val="auto"/>
              </w:rPr>
            </w:pPr>
            <w:r>
              <w:rPr>
                <w:rFonts w:ascii="Times New Roman" w:cs="Times New Roman" w:eastAsia="Times New Roman" w:hAnsi="Times New Roman"/>
                <w:sz w:val="11"/>
                <w:szCs w:val="11"/>
                <w:color w:val="auto"/>
              </w:rPr>
              <w:t>HOWL</w:t>
            </w:r>
          </w:p>
        </w:tc>
        <w:tc>
          <w:tcPr>
            <w:tcW w:w="48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Global Select Market</w:t>
            </w:r>
          </w:p>
        </w:tc>
      </w:tr>
    </w:tbl>
    <w:p>
      <w:pPr>
        <w:spacing w:after="0" w:line="170" w:lineRule="exact"/>
        <w:rPr>
          <w:sz w:val="24"/>
          <w:szCs w:val="24"/>
          <w:color w:val="auto"/>
        </w:rPr>
      </w:pPr>
    </w:p>
    <w:p>
      <w:pPr>
        <w:ind w:firstLine="159"/>
        <w:spacing w:after="0" w:line="15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0" w:lineRule="exact"/>
        <w:rPr>
          <w:sz w:val="24"/>
          <w:szCs w:val="24"/>
          <w:color w:val="auto"/>
        </w:rPr>
      </w:pPr>
    </w:p>
    <w:p>
      <w:pPr>
        <w:ind w:firstLine="159"/>
        <w:spacing w:after="0" w:line="163" w:lineRule="exact"/>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0" w:lineRule="exact"/>
        <w:rPr>
          <w:sz w:val="24"/>
          <w:szCs w:val="24"/>
          <w:color w:val="auto"/>
        </w:rPr>
      </w:pPr>
    </w:p>
    <w:p>
      <w:pPr>
        <w:ind w:left="160"/>
        <w:spacing w:after="0" w:line="127" w:lineRule="exact"/>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accelerated filer, a smaller reporting company, or an emerging growth company.</w:t>
      </w:r>
    </w:p>
    <w:p>
      <w:pPr>
        <w:spacing w:after="0" w:line="112" w:lineRule="exact"/>
        <w:rPr>
          <w:sz w:val="24"/>
          <w:szCs w:val="24"/>
          <w:color w:val="auto"/>
        </w:rPr>
      </w:pPr>
    </w:p>
    <w:p>
      <w:pPr>
        <w:ind w:left="160"/>
        <w:spacing w:after="0" w:line="127" w:lineRule="exact"/>
        <w:rPr>
          <w:sz w:val="20"/>
          <w:szCs w:val="20"/>
          <w:color w:val="auto"/>
        </w:rPr>
      </w:pPr>
      <w:r>
        <w:rPr>
          <w:rFonts w:ascii="Times New Roman" w:cs="Times New Roman" w:eastAsia="Times New Roman" w:hAnsi="Times New Roman"/>
          <w:sz w:val="11"/>
          <w:szCs w:val="11"/>
          <w:color w:val="auto"/>
        </w:rPr>
        <w:t>See the definitions of “large accelerated filer,” “accelerated filer,” “smaller reporting company,” and “emerging growth company” in Rule 12b</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2 of the Exchange Act.</w:t>
      </w:r>
    </w:p>
    <w:p>
      <w:pPr>
        <w:spacing w:after="0" w:line="142"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660" w:type="dxa"/>
            <w:vAlign w:val="bottom"/>
          </w:tcPr>
          <w:p>
            <w:pPr>
              <w:ind w:left="580"/>
              <w:spacing w:after="0" w:line="121" w:lineRule="exact"/>
              <w:rPr>
                <w:sz w:val="20"/>
                <w:szCs w:val="20"/>
                <w:color w:val="auto"/>
              </w:rPr>
            </w:pPr>
            <w:r>
              <w:rPr>
                <w:rFonts w:ascii="MS PGothic" w:cs="MS PGothic" w:eastAsia="MS PGothic" w:hAnsi="MS PGothic"/>
                <w:sz w:val="12"/>
                <w:szCs w:val="12"/>
                <w:color w:val="auto"/>
              </w:rPr>
              <w:t>☐</w:t>
            </w:r>
          </w:p>
        </w:tc>
        <w:tc>
          <w:tcPr>
            <w:tcW w:w="4980" w:type="dxa"/>
            <w:vAlign w:val="bottom"/>
          </w:tcPr>
          <w:p>
            <w:pPr>
              <w:ind w:left="2980"/>
              <w:spacing w:after="0"/>
              <w:rPr>
                <w:sz w:val="20"/>
                <w:szCs w:val="20"/>
                <w:color w:val="auto"/>
              </w:rPr>
            </w:pPr>
            <w:r>
              <w:rPr>
                <w:rFonts w:ascii="Times New Roman" w:cs="Times New Roman" w:eastAsia="Times New Roman" w:hAnsi="Times New Roman"/>
                <w:sz w:val="12"/>
                <w:szCs w:val="12"/>
                <w:color w:val="auto"/>
              </w:rPr>
              <w:t>Accelerated filer</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39"/>
        </w:trPr>
        <w:tc>
          <w:tcPr>
            <w:tcW w:w="170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accelerated filer</w:t>
            </w:r>
          </w:p>
        </w:tc>
        <w:tc>
          <w:tcPr>
            <w:tcW w:w="3660" w:type="dxa"/>
            <w:vAlign w:val="bottom"/>
          </w:tcPr>
          <w:p>
            <w:pPr>
              <w:ind w:left="580"/>
              <w:spacing w:after="0" w:line="121" w:lineRule="exact"/>
              <w:rPr>
                <w:sz w:val="20"/>
                <w:szCs w:val="20"/>
                <w:color w:val="auto"/>
              </w:rPr>
            </w:pPr>
            <w:r>
              <w:rPr>
                <w:rFonts w:ascii="MS PGothic" w:cs="MS PGothic" w:eastAsia="MS PGothic" w:hAnsi="MS PGothic"/>
                <w:sz w:val="12"/>
                <w:szCs w:val="12"/>
                <w:color w:val="auto"/>
              </w:rPr>
              <w:t>☒</w:t>
            </w:r>
          </w:p>
        </w:tc>
        <w:tc>
          <w:tcPr>
            <w:tcW w:w="4980" w:type="dxa"/>
            <w:vAlign w:val="bottom"/>
          </w:tcPr>
          <w:p>
            <w:pPr>
              <w:ind w:left="29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38"/>
        </w:trPr>
        <w:tc>
          <w:tcPr>
            <w:tcW w:w="17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980" w:type="dxa"/>
            <w:vAlign w:val="bottom"/>
          </w:tcPr>
          <w:p>
            <w:pPr>
              <w:ind w:left="2980"/>
              <w:spacing w:after="0"/>
              <w:rPr>
                <w:sz w:val="20"/>
                <w:szCs w:val="20"/>
                <w:color w:val="auto"/>
              </w:rPr>
            </w:pPr>
            <w:r>
              <w:rPr>
                <w:rFonts w:ascii="Times New Roman" w:cs="Times New Roman" w:eastAsia="Times New Roman" w:hAnsi="Times New Roman"/>
                <w:sz w:val="12"/>
                <w:szCs w:val="12"/>
                <w:color w:val="auto"/>
              </w:rPr>
              <w:t>Emerging growth company</w:t>
            </w:r>
          </w:p>
        </w:tc>
        <w:tc>
          <w:tcPr>
            <w:tcW w:w="7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38" w:lineRule="exact"/>
        <w:rPr>
          <w:sz w:val="24"/>
          <w:szCs w:val="24"/>
          <w:color w:val="auto"/>
        </w:rPr>
      </w:pPr>
    </w:p>
    <w:p>
      <w:pPr>
        <w:ind w:firstLine="159"/>
        <w:spacing w:after="0" w:line="187"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ind w:left="160" w:right="4740"/>
        <w:spacing w:after="0" w:line="230" w:lineRule="exact"/>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2"/>
          <w:szCs w:val="12"/>
          <w:color w:val="auto"/>
        </w:rPr>
        <w:t xml:space="preserve"> As of May 1, 2026, there were 48,596,817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814705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120650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86995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6"/>
        </w:trPr>
        <w:tc>
          <w:tcPr>
            <w:tcW w:w="28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E32E1"/>
                <w:w w:val="96"/>
              </w:rPr>
              <w:t>PART I. FINANCIAL INFORMATION</w:t>
            </w:r>
          </w:p>
        </w:tc>
        <w:tc>
          <w:tcPr>
            <w:tcW w:w="7620" w:type="dxa"/>
            <w:vAlign w:val="bottom"/>
            <w:gridSpan w:val="10"/>
            <w:vMerge w:val="restart"/>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840" w:type="dxa"/>
            <w:vAlign w:val="bottom"/>
            <w:tcBorders>
              <w:bottom w:val="single" w:sz="8" w:color="0E32E1"/>
            </w:tcBorders>
            <w:gridSpan w:val="7"/>
            <w:vMerge w:val="continue"/>
          </w:tcPr>
          <w:p>
            <w:pPr>
              <w:spacing w:after="0"/>
              <w:rPr>
                <w:sz w:val="14"/>
                <w:szCs w:val="14"/>
                <w:color w:val="auto"/>
              </w:rPr>
            </w:pPr>
          </w:p>
        </w:tc>
        <w:tc>
          <w:tcPr>
            <w:tcW w:w="7620" w:type="dxa"/>
            <w:vAlign w:val="bottom"/>
            <w:gridSpan w:val="10"/>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7"/>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0E32E1"/>
              </w:rPr>
              <w:t>Item 1.</w:t>
            </w:r>
          </w:p>
        </w:tc>
        <w:tc>
          <w:tcPr>
            <w:tcW w:w="9300" w:type="dxa"/>
            <w:vAlign w:val="bottom"/>
            <w:gridSpan w:val="14"/>
          </w:tcPr>
          <w:p>
            <w:pPr>
              <w:spacing w:after="0"/>
              <w:rPr>
                <w:sz w:val="20"/>
                <w:szCs w:val="20"/>
                <w:color w:val="auto"/>
              </w:rPr>
            </w:pPr>
            <w:r>
              <w:rPr>
                <w:rFonts w:ascii="Times New Roman" w:cs="Times New Roman" w:eastAsia="Times New Roman" w:hAnsi="Times New Roman"/>
                <w:sz w:val="18"/>
                <w:szCs w:val="18"/>
                <w:color w:val="0E32E1"/>
              </w:rPr>
              <w:t>Financial Statements (unaudited)</w:t>
            </w:r>
          </w:p>
        </w:tc>
        <w:tc>
          <w:tcPr>
            <w:tcW w:w="4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0E32E1"/>
                <w:w w:val="88"/>
              </w:rPr>
              <w:t>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60" w:type="dxa"/>
            <w:vAlign w:val="bottom"/>
            <w:tcBorders>
              <w:lef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0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E32E1"/>
              </w:rPr>
              <w:t>Condensed Consolidated Balance Sheets as of March 31, 2026 and December 31, 2025</w:t>
            </w:r>
          </w:p>
        </w:tc>
        <w:tc>
          <w:tcPr>
            <w:tcW w:w="420" w:type="dxa"/>
            <w:vAlign w:val="bottom"/>
            <w:gridSpan w:val="2"/>
          </w:tcPr>
          <w:p>
            <w:pPr>
              <w:jc w:val="center"/>
              <w:ind w:left="252"/>
              <w:spacing w:after="0" w:line="205" w:lineRule="exact"/>
              <w:rPr>
                <w:sz w:val="20"/>
                <w:szCs w:val="20"/>
                <w:color w:val="auto"/>
              </w:rPr>
            </w:pPr>
            <w:r>
              <w:rPr>
                <w:rFonts w:ascii="Times New Roman" w:cs="Times New Roman" w:eastAsia="Times New Roman" w:hAnsi="Times New Roman"/>
                <w:sz w:val="18"/>
                <w:szCs w:val="18"/>
                <w:color w:val="0E32E1"/>
                <w:w w:val="88"/>
              </w:rPr>
              <w:t>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60" w:type="dxa"/>
            <w:vAlign w:val="bottom"/>
            <w:tcBorders>
              <w:left w:val="single" w:sz="8" w:color="0E32E1"/>
            </w:tcBorders>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58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920" w:type="dxa"/>
            <w:vAlign w:val="bottom"/>
            <w:shd w:val="clear" w:color="auto" w:fill="0E32E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0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E32E1"/>
              </w:rPr>
              <w:t>Condensed Consolidated Statements of Operations for the Three Months Ended March 31, 2026 and 2025</w:t>
            </w:r>
          </w:p>
        </w:tc>
        <w:tc>
          <w:tcPr>
            <w:tcW w:w="420" w:type="dxa"/>
            <w:vAlign w:val="bottom"/>
            <w:gridSpan w:val="2"/>
          </w:tcPr>
          <w:p>
            <w:pPr>
              <w:jc w:val="center"/>
              <w:ind w:left="252"/>
              <w:spacing w:after="0" w:line="205" w:lineRule="exact"/>
              <w:rPr>
                <w:sz w:val="20"/>
                <w:szCs w:val="20"/>
                <w:color w:val="auto"/>
              </w:rPr>
            </w:pPr>
            <w:r>
              <w:rPr>
                <w:rFonts w:ascii="Times New Roman" w:cs="Times New Roman" w:eastAsia="Times New Roman" w:hAnsi="Times New Roman"/>
                <w:sz w:val="18"/>
                <w:szCs w:val="18"/>
                <w:color w:val="0E32E1"/>
                <w:w w:val="88"/>
              </w:rPr>
              <w:t>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60" w:type="dxa"/>
            <w:vAlign w:val="bottom"/>
            <w:tcBorders>
              <w:lef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180" w:type="dxa"/>
            <w:vAlign w:val="bottom"/>
            <w:gridSpan w:val="2"/>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2100" w:type="dxa"/>
            <w:vAlign w:val="bottom"/>
            <w:gridSpan w:val="2"/>
            <w:shd w:val="clear" w:color="auto" w:fill="0E32E1"/>
          </w:tcPr>
          <w:p>
            <w:pPr>
              <w:spacing w:after="0" w:line="20" w:lineRule="exact"/>
              <w:rPr>
                <w:sz w:val="1"/>
                <w:szCs w:val="1"/>
                <w:color w:val="auto"/>
              </w:rPr>
            </w:pPr>
          </w:p>
        </w:tc>
        <w:tc>
          <w:tcPr>
            <w:tcW w:w="116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0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E32E1"/>
              </w:rPr>
              <w:t>Condensed Consolidated Statements of Stockholders’ Equity for the Three Months Ended March 31, 2026 and 2025</w:t>
            </w:r>
          </w:p>
        </w:tc>
        <w:tc>
          <w:tcPr>
            <w:tcW w:w="420" w:type="dxa"/>
            <w:vAlign w:val="bottom"/>
            <w:gridSpan w:val="2"/>
          </w:tcPr>
          <w:p>
            <w:pPr>
              <w:jc w:val="center"/>
              <w:ind w:left="252"/>
              <w:spacing w:after="0" w:line="205" w:lineRule="exact"/>
              <w:rPr>
                <w:sz w:val="20"/>
                <w:szCs w:val="20"/>
                <w:color w:val="auto"/>
              </w:rPr>
            </w:pPr>
            <w:r>
              <w:rPr>
                <w:rFonts w:ascii="Times New Roman" w:cs="Times New Roman" w:eastAsia="Times New Roman" w:hAnsi="Times New Roman"/>
                <w:sz w:val="18"/>
                <w:szCs w:val="18"/>
                <w:color w:val="0E32E1"/>
                <w:w w:val="88"/>
              </w:rPr>
              <w:t>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60" w:type="dxa"/>
            <w:vAlign w:val="bottom"/>
            <w:tcBorders>
              <w:lef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180" w:type="dxa"/>
            <w:vAlign w:val="bottom"/>
            <w:gridSpan w:val="2"/>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2100" w:type="dxa"/>
            <w:vAlign w:val="bottom"/>
            <w:gridSpan w:val="2"/>
            <w:shd w:val="clear" w:color="auto" w:fill="0E32E1"/>
          </w:tcPr>
          <w:p>
            <w:pPr>
              <w:spacing w:after="0" w:line="20" w:lineRule="exact"/>
              <w:rPr>
                <w:sz w:val="1"/>
                <w:szCs w:val="1"/>
                <w:color w:val="auto"/>
              </w:rPr>
            </w:pPr>
          </w:p>
        </w:tc>
        <w:tc>
          <w:tcPr>
            <w:tcW w:w="1220" w:type="dxa"/>
            <w:vAlign w:val="bottom"/>
            <w:gridSpan w:val="2"/>
            <w:shd w:val="clear" w:color="auto" w:fill="0E32E1"/>
          </w:tcPr>
          <w:p>
            <w:pPr>
              <w:spacing w:after="0" w:line="20" w:lineRule="exact"/>
              <w:rPr>
                <w:sz w:val="1"/>
                <w:szCs w:val="1"/>
                <w:color w:val="auto"/>
              </w:rPr>
            </w:pPr>
          </w:p>
        </w:tc>
        <w:tc>
          <w:tcPr>
            <w:tcW w:w="660" w:type="dxa"/>
            <w:vAlign w:val="bottom"/>
            <w:shd w:val="clear" w:color="auto" w:fill="0E32E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2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0E32E1"/>
              </w:rPr>
              <w:t>Condensed Consolidated Statements of Cash Flows for the Three Months Ended March 31, 2026 and 2025</w:t>
            </w:r>
          </w:p>
        </w:tc>
        <w:tc>
          <w:tcPr>
            <w:tcW w:w="1080" w:type="dxa"/>
            <w:vAlign w:val="bottom"/>
          </w:tcPr>
          <w:p>
            <w:pPr>
              <w:spacing w:after="0"/>
              <w:rPr>
                <w:sz w:val="17"/>
                <w:szCs w:val="17"/>
                <w:color w:val="auto"/>
              </w:rPr>
            </w:pPr>
          </w:p>
        </w:tc>
        <w:tc>
          <w:tcPr>
            <w:tcW w:w="420" w:type="dxa"/>
            <w:vAlign w:val="bottom"/>
            <w:gridSpan w:val="2"/>
          </w:tcPr>
          <w:p>
            <w:pPr>
              <w:jc w:val="center"/>
              <w:ind w:left="252"/>
              <w:spacing w:after="0" w:line="205" w:lineRule="exact"/>
              <w:rPr>
                <w:sz w:val="20"/>
                <w:szCs w:val="20"/>
                <w:color w:val="auto"/>
              </w:rPr>
            </w:pPr>
            <w:r>
              <w:rPr>
                <w:rFonts w:ascii="Times New Roman" w:cs="Times New Roman" w:eastAsia="Times New Roman" w:hAnsi="Times New Roman"/>
                <w:sz w:val="18"/>
                <w:szCs w:val="18"/>
                <w:color w:val="0E32E1"/>
                <w:w w:val="88"/>
              </w:rPr>
              <w:t>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60" w:type="dxa"/>
            <w:vAlign w:val="bottom"/>
            <w:tcBorders>
              <w:lef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180" w:type="dxa"/>
            <w:vAlign w:val="bottom"/>
            <w:gridSpan w:val="2"/>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2100" w:type="dxa"/>
            <w:vAlign w:val="bottom"/>
            <w:gridSpan w:val="2"/>
            <w:shd w:val="clear" w:color="auto" w:fill="0E32E1"/>
          </w:tcPr>
          <w:p>
            <w:pPr>
              <w:spacing w:after="0" w:line="20" w:lineRule="exact"/>
              <w:rPr>
                <w:sz w:val="1"/>
                <w:szCs w:val="1"/>
                <w:color w:val="auto"/>
              </w:rPr>
            </w:pPr>
          </w:p>
        </w:tc>
        <w:tc>
          <w:tcPr>
            <w:tcW w:w="1220" w:type="dxa"/>
            <w:vAlign w:val="bottom"/>
            <w:gridSpan w:val="2"/>
            <w:shd w:val="clear" w:color="auto" w:fill="0E32E1"/>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5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E32E1"/>
              </w:rPr>
              <w:t>Notes to Condensed Consolidated Financial Statements</w:t>
            </w:r>
          </w:p>
        </w:tc>
        <w:tc>
          <w:tcPr>
            <w:tcW w:w="1740" w:type="dxa"/>
            <w:vAlign w:val="bottom"/>
            <w:gridSpan w:val="2"/>
          </w:tcPr>
          <w:p>
            <w:pPr>
              <w:spacing w:after="0"/>
              <w:rPr>
                <w:sz w:val="17"/>
                <w:szCs w:val="17"/>
                <w:color w:val="auto"/>
              </w:rPr>
            </w:pPr>
          </w:p>
        </w:tc>
        <w:tc>
          <w:tcPr>
            <w:tcW w:w="420" w:type="dxa"/>
            <w:vAlign w:val="bottom"/>
            <w:gridSpan w:val="2"/>
          </w:tcPr>
          <w:p>
            <w:pPr>
              <w:jc w:val="center"/>
              <w:ind w:left="252"/>
              <w:spacing w:after="0" w:line="205" w:lineRule="exact"/>
              <w:rPr>
                <w:sz w:val="20"/>
                <w:szCs w:val="20"/>
                <w:color w:val="auto"/>
              </w:rPr>
            </w:pPr>
            <w:r>
              <w:rPr>
                <w:rFonts w:ascii="Times New Roman" w:cs="Times New Roman" w:eastAsia="Times New Roman" w:hAnsi="Times New Roman"/>
                <w:sz w:val="18"/>
                <w:szCs w:val="18"/>
                <w:color w:val="0E32E1"/>
                <w:w w:val="88"/>
              </w:rPr>
              <w:t>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60" w:type="dxa"/>
            <w:vAlign w:val="bottom"/>
            <w:tcBorders>
              <w:lef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180" w:type="dxa"/>
            <w:vAlign w:val="bottom"/>
            <w:gridSpan w:val="2"/>
            <w:shd w:val="clear" w:color="auto" w:fill="0E32E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E32E1"/>
              </w:rPr>
              <w:t>Item 2.</w:t>
            </w:r>
          </w:p>
        </w:tc>
        <w:tc>
          <w:tcPr>
            <w:tcW w:w="520" w:type="dxa"/>
            <w:vAlign w:val="bottom"/>
          </w:tcPr>
          <w:p>
            <w:pPr>
              <w:spacing w:after="0"/>
              <w:rPr>
                <w:sz w:val="17"/>
                <w:szCs w:val="17"/>
                <w:color w:val="auto"/>
              </w:rPr>
            </w:pPr>
          </w:p>
        </w:tc>
        <w:tc>
          <w:tcPr>
            <w:tcW w:w="930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760" w:type="dxa"/>
            <w:vAlign w:val="bottom"/>
            <w:gridSpan w:val="3"/>
          </w:tcPr>
          <w:p>
            <w:pPr>
              <w:jc w:val="center"/>
              <w:ind w:right="20"/>
              <w:spacing w:after="0" w:line="205" w:lineRule="exact"/>
              <w:rPr>
                <w:sz w:val="20"/>
                <w:szCs w:val="20"/>
                <w:color w:val="auto"/>
              </w:rPr>
            </w:pPr>
            <w:r>
              <w:rPr>
                <w:rFonts w:ascii="Times New Roman" w:cs="Times New Roman" w:eastAsia="Times New Roman" w:hAnsi="Times New Roman"/>
                <w:sz w:val="18"/>
                <w:szCs w:val="18"/>
                <w:color w:val="0E32E1"/>
                <w:w w:val="99"/>
              </w:rPr>
              <w:t>19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E32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60" w:type="dxa"/>
            <w:vAlign w:val="bottom"/>
            <w:tcBorders>
              <w:lef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500" w:type="dxa"/>
            <w:vAlign w:val="bottom"/>
            <w:gridSpan w:val="3"/>
            <w:shd w:val="clear" w:color="auto" w:fill="0E32E1"/>
          </w:tcPr>
          <w:p>
            <w:pPr>
              <w:spacing w:after="0" w:line="20" w:lineRule="exact"/>
              <w:rPr>
                <w:sz w:val="1"/>
                <w:szCs w:val="1"/>
                <w:color w:val="auto"/>
              </w:rPr>
            </w:pPr>
          </w:p>
        </w:tc>
        <w:tc>
          <w:tcPr>
            <w:tcW w:w="2100" w:type="dxa"/>
            <w:vAlign w:val="bottom"/>
            <w:gridSpan w:val="2"/>
            <w:shd w:val="clear" w:color="auto" w:fill="0E32E1"/>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E32E1"/>
              </w:rPr>
              <w:t>Item 3.</w:t>
            </w:r>
          </w:p>
        </w:tc>
        <w:tc>
          <w:tcPr>
            <w:tcW w:w="520" w:type="dxa"/>
            <w:vAlign w:val="bottom"/>
          </w:tcPr>
          <w:p>
            <w:pPr>
              <w:spacing w:after="0"/>
              <w:rPr>
                <w:sz w:val="17"/>
                <w:szCs w:val="17"/>
                <w:color w:val="auto"/>
              </w:rPr>
            </w:pPr>
          </w:p>
        </w:tc>
        <w:tc>
          <w:tcPr>
            <w:tcW w:w="634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296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E32E1"/>
                <w:w w:val="70"/>
              </w:rPr>
              <w:t>28</w:t>
            </w:r>
          </w:p>
        </w:tc>
        <w:tc>
          <w:tcPr>
            <w:tcW w:w="0" w:type="dxa"/>
            <w:vAlign w:val="bottom"/>
          </w:tcPr>
          <w:p>
            <w:pPr>
              <w:spacing w:after="0"/>
              <w:rPr>
                <w:sz w:val="1"/>
                <w:szCs w:val="1"/>
                <w:color w:val="auto"/>
              </w:rPr>
            </w:pPr>
          </w:p>
        </w:tc>
      </w:tr>
      <w:tr>
        <w:trPr>
          <w:trHeight w:val="20"/>
        </w:trPr>
        <w:tc>
          <w:tcPr>
            <w:tcW w:w="50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60" w:type="dxa"/>
            <w:vAlign w:val="bottom"/>
            <w:tcBorders>
              <w:lef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500" w:type="dxa"/>
            <w:vAlign w:val="bottom"/>
            <w:gridSpan w:val="3"/>
            <w:shd w:val="clear" w:color="auto" w:fill="0E32E1"/>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E32E1"/>
              </w:rPr>
              <w:t>Item 4.</w:t>
            </w:r>
          </w:p>
        </w:tc>
        <w:tc>
          <w:tcPr>
            <w:tcW w:w="930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E32E1"/>
              </w:rPr>
              <w:t>Controls and Procedures</w:t>
            </w:r>
          </w:p>
        </w:tc>
        <w:tc>
          <w:tcPr>
            <w:tcW w:w="760" w:type="dxa"/>
            <w:vAlign w:val="bottom"/>
            <w:gridSpan w:val="3"/>
          </w:tcPr>
          <w:p>
            <w:pPr>
              <w:jc w:val="center"/>
              <w:ind w:right="20"/>
              <w:spacing w:after="0" w:line="205" w:lineRule="exact"/>
              <w:rPr>
                <w:sz w:val="20"/>
                <w:szCs w:val="20"/>
                <w:color w:val="auto"/>
              </w:rPr>
            </w:pPr>
            <w:r>
              <w:rPr>
                <w:rFonts w:ascii="Times New Roman" w:cs="Times New Roman" w:eastAsia="Times New Roman" w:hAnsi="Times New Roman"/>
                <w:sz w:val="18"/>
                <w:szCs w:val="18"/>
                <w:color w:val="0E32E1"/>
                <w:w w:val="99"/>
              </w:rPr>
              <w:t>28</w:t>
            </w:r>
          </w:p>
        </w:tc>
        <w:tc>
          <w:tcPr>
            <w:tcW w:w="0" w:type="dxa"/>
            <w:vAlign w:val="bottom"/>
          </w:tcPr>
          <w:p>
            <w:pPr>
              <w:spacing w:after="0"/>
              <w:rPr>
                <w:sz w:val="1"/>
                <w:szCs w:val="1"/>
                <w:color w:val="auto"/>
              </w:rPr>
            </w:pPr>
          </w:p>
        </w:tc>
      </w:tr>
      <w:tr>
        <w:trPr>
          <w:trHeight w:val="20"/>
        </w:trPr>
        <w:tc>
          <w:tcPr>
            <w:tcW w:w="50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60" w:type="dxa"/>
            <w:vAlign w:val="bottom"/>
            <w:tcBorders>
              <w:lef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E32E1"/>
              </w:rPr>
              <w:t>Item 5.</w:t>
            </w:r>
          </w:p>
        </w:tc>
        <w:tc>
          <w:tcPr>
            <w:tcW w:w="9300" w:type="dxa"/>
            <w:vAlign w:val="bottom"/>
            <w:gridSpan w:val="14"/>
          </w:tcPr>
          <w:p>
            <w:pPr>
              <w:spacing w:after="0" w:line="205" w:lineRule="exact"/>
              <w:rPr>
                <w:sz w:val="20"/>
                <w:szCs w:val="20"/>
                <w:color w:val="auto"/>
              </w:rPr>
            </w:pPr>
            <w:r>
              <w:rPr>
                <w:rFonts w:ascii="Times New Roman" w:cs="Times New Roman" w:eastAsia="Times New Roman" w:hAnsi="Times New Roman"/>
                <w:sz w:val="18"/>
                <w:szCs w:val="18"/>
                <w:color w:val="0E32E1"/>
              </w:rPr>
              <w:t>Other Events</w:t>
            </w:r>
          </w:p>
        </w:tc>
        <w:tc>
          <w:tcPr>
            <w:tcW w:w="760" w:type="dxa"/>
            <w:vAlign w:val="bottom"/>
            <w:gridSpan w:val="3"/>
          </w:tcPr>
          <w:p>
            <w:pPr>
              <w:jc w:val="center"/>
              <w:ind w:right="20"/>
              <w:spacing w:after="0" w:line="205" w:lineRule="exact"/>
              <w:rPr>
                <w:sz w:val="20"/>
                <w:szCs w:val="20"/>
                <w:color w:val="auto"/>
              </w:rPr>
            </w:pPr>
            <w:r>
              <w:rPr>
                <w:rFonts w:ascii="Times New Roman" w:cs="Times New Roman" w:eastAsia="Times New Roman" w:hAnsi="Times New Roman"/>
                <w:sz w:val="18"/>
                <w:szCs w:val="18"/>
                <w:color w:val="0E32E1"/>
                <w:w w:val="99"/>
              </w:rPr>
              <w:t>28</w:t>
            </w:r>
          </w:p>
        </w:tc>
        <w:tc>
          <w:tcPr>
            <w:tcW w:w="0" w:type="dxa"/>
            <w:vAlign w:val="bottom"/>
          </w:tcPr>
          <w:p>
            <w:pPr>
              <w:spacing w:after="0"/>
              <w:rPr>
                <w:sz w:val="1"/>
                <w:szCs w:val="1"/>
                <w:color w:val="auto"/>
              </w:rPr>
            </w:pPr>
          </w:p>
        </w:tc>
      </w:tr>
      <w:tr>
        <w:trPr>
          <w:trHeight w:val="20"/>
        </w:trPr>
        <w:tc>
          <w:tcPr>
            <w:tcW w:w="50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460" w:type="dxa"/>
            <w:vAlign w:val="bottom"/>
            <w:tcBorders>
              <w:left w:val="single" w:sz="8" w:color="0E32E1"/>
            </w:tcBorders>
          </w:tcPr>
          <w:p>
            <w:pPr>
              <w:spacing w:after="0" w:line="20" w:lineRule="exact"/>
              <w:rPr>
                <w:sz w:val="1"/>
                <w:szCs w:val="1"/>
                <w:color w:val="auto"/>
              </w:rPr>
            </w:pPr>
          </w:p>
        </w:tc>
        <w:tc>
          <w:tcPr>
            <w:tcW w:w="7940" w:type="dxa"/>
            <w:vAlign w:val="bottom"/>
            <w:gridSpan w:val="11"/>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0460" w:type="dxa"/>
            <w:vAlign w:val="bottom"/>
            <w:gridSpan w:val="17"/>
          </w:tcPr>
          <w:p>
            <w:pPr>
              <w:spacing w:after="0"/>
              <w:rPr>
                <w:sz w:val="20"/>
                <w:szCs w:val="20"/>
                <w:color w:val="auto"/>
              </w:rPr>
            </w:pPr>
            <w:r>
              <w:rPr>
                <w:rFonts w:ascii="Times New Roman" w:cs="Times New Roman" w:eastAsia="Times New Roman" w:hAnsi="Times New Roman"/>
                <w:sz w:val="18"/>
                <w:szCs w:val="18"/>
                <w:color w:val="0E32E1"/>
              </w:rPr>
              <w:t>PART II. OTHER INFORMATION</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640" w:type="dxa"/>
            <w:vAlign w:val="bottom"/>
            <w:tcBorders>
              <w:top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6"/>
              </w:rPr>
              <w:t>Item 1A.</w:t>
            </w:r>
          </w:p>
        </w:tc>
        <w:tc>
          <w:tcPr>
            <w:tcW w:w="520" w:type="dxa"/>
            <w:vAlign w:val="bottom"/>
            <w:tcBorders>
              <w:top w:val="single" w:sz="8" w:color="0E32E1"/>
            </w:tcBorders>
          </w:tcPr>
          <w:p>
            <w:pPr>
              <w:spacing w:after="0"/>
              <w:rPr>
                <w:sz w:val="24"/>
                <w:szCs w:val="24"/>
                <w:color w:val="auto"/>
              </w:rPr>
            </w:pPr>
          </w:p>
        </w:tc>
        <w:tc>
          <w:tcPr>
            <w:tcW w:w="900" w:type="dxa"/>
            <w:vAlign w:val="bottom"/>
            <w:tcBorders>
              <w:top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4"/>
              </w:rPr>
              <w:t>Risk Factors</w:t>
            </w:r>
          </w:p>
        </w:tc>
        <w:tc>
          <w:tcPr>
            <w:tcW w:w="460" w:type="dxa"/>
            <w:vAlign w:val="bottom"/>
            <w:tcBorders>
              <w:top w:val="single" w:sz="8" w:color="0E32E1"/>
            </w:tcBorders>
          </w:tcPr>
          <w:p>
            <w:pPr>
              <w:spacing w:after="0"/>
              <w:rPr>
                <w:sz w:val="24"/>
                <w:szCs w:val="24"/>
                <w:color w:val="auto"/>
              </w:rPr>
            </w:pPr>
          </w:p>
        </w:tc>
        <w:tc>
          <w:tcPr>
            <w:tcW w:w="7940" w:type="dxa"/>
            <w:vAlign w:val="bottom"/>
            <w:gridSpan w:val="11"/>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E32E1"/>
                <w:w w:val="70"/>
              </w:rPr>
              <w:t>30</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E32E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8400" w:type="dxa"/>
            <w:vAlign w:val="bottom"/>
            <w:gridSpan w:val="12"/>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E32E1"/>
              </w:rPr>
              <w:t>Item 6.</w:t>
            </w:r>
          </w:p>
        </w:tc>
        <w:tc>
          <w:tcPr>
            <w:tcW w:w="520" w:type="dxa"/>
            <w:vAlign w:val="bottom"/>
          </w:tcPr>
          <w:p>
            <w:pPr>
              <w:spacing w:after="0"/>
              <w:rPr>
                <w:sz w:val="17"/>
                <w:szCs w:val="17"/>
                <w:color w:val="auto"/>
              </w:rPr>
            </w:pPr>
          </w:p>
        </w:tc>
        <w:tc>
          <w:tcPr>
            <w:tcW w:w="9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E32E1"/>
              </w:rPr>
              <w:t>Exhibits</w:t>
            </w:r>
          </w:p>
        </w:tc>
        <w:tc>
          <w:tcPr>
            <w:tcW w:w="8400" w:type="dxa"/>
            <w:vAlign w:val="bottom"/>
            <w:gridSpan w:val="12"/>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E32E1"/>
                <w:w w:val="70"/>
              </w:rPr>
              <w:t>85</w:t>
            </w:r>
          </w:p>
        </w:tc>
        <w:tc>
          <w:tcPr>
            <w:tcW w:w="0" w:type="dxa"/>
            <w:vAlign w:val="bottom"/>
          </w:tcPr>
          <w:p>
            <w:pPr>
              <w:spacing w:after="0"/>
              <w:rPr>
                <w:sz w:val="1"/>
                <w:szCs w:val="1"/>
                <w:color w:val="auto"/>
              </w:rPr>
            </w:pPr>
          </w:p>
        </w:tc>
      </w:tr>
      <w:tr>
        <w:trPr>
          <w:trHeight w:val="20"/>
        </w:trPr>
        <w:tc>
          <w:tcPr>
            <w:tcW w:w="50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40" w:type="dxa"/>
            <w:vAlign w:val="bottom"/>
            <w:tcBorders>
              <w:left w:val="single" w:sz="8" w:color="0E32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E32E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700405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Werewolf</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Throughout this Quarterly Report on Form 10-Q, or Quarterly Report, the “Company,” “Werewolf,” “Werewolf Therapeutics,” “we,” “us,” “our,” and similar references, except where the context requires otherwise, refer to Werewolf Therapeutics, Inc. and its consolidated subsidiary, and “board of directors” refers to the board of directors of Werewolf Therapeutics, Inc.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and Section 21E of the Securities Exchange Act of 1934, or the Exchange Act, that involve substantial risks and uncertainties. All statements other than statements of historical facts contained in this Quarterly Report, including statements regarding our strategy, future operations, future financial position, future revenue, projected costs, prospects, plans, objectives of management and expected market growth, are forward-looking statements.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words “aim,” “anticipate,” “believe,” “contemplate,” “continue,” “could,” “design,” “designed to,” “engineered,” “estimate,” “expect,” “goal,” “intend,” “may,” “might,” “objective,” “ongoing,” “plan,” “potential,” “predict,” “promise,” “project,” “should,” “target,” “will,” “would,” or the negative of these words or other similar expressions are intended to identify forward-looking statements, although not all forward-looking statements contain these identifying words. These forward-looking statements include, among other things, statements about:</w:t>
      </w:r>
    </w:p>
    <w:p>
      <w:pPr>
        <w:spacing w:after="0" w:line="74" w:lineRule="exact"/>
        <w:rPr>
          <w:sz w:val="20"/>
          <w:szCs w:val="20"/>
          <w:color w:val="auto"/>
        </w:rPr>
      </w:pPr>
    </w:p>
    <w:p>
      <w:pPr>
        <w:ind w:left="640" w:hanging="634"/>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and ongoing and planned clinical trials, including the anticipated timing of data announcements;</w:t>
      </w:r>
    </w:p>
    <w:p>
      <w:pPr>
        <w:spacing w:after="0" w:line="57"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capital requirements, need for additional financing and the period over which we believe our existing cash and cash equivalents will be sufficient to fund our operating expenses and capital expenditure requirements;</w:t>
      </w:r>
    </w:p>
    <w:p>
      <w:pPr>
        <w:spacing w:after="0" w:line="57"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strategic alternatives to advance our promising platform and drug development pipeline to maximize stockholder value;</w:t>
      </w:r>
    </w:p>
    <w:p>
      <w:pPr>
        <w:spacing w:after="0" w:line="11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plans to develop and, if approved, subsequently commercialize product candidates;</w:t>
      </w:r>
    </w:p>
    <w:p>
      <w:pPr>
        <w:spacing w:after="0" w:line="111" w:lineRule="exact"/>
        <w:rPr>
          <w:rFonts w:ascii="Times New Roman" w:cs="Times New Roman" w:eastAsia="Times New Roman" w:hAnsi="Times New Roman"/>
          <w:sz w:val="16"/>
          <w:szCs w:val="16"/>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and obtain and maintain regulatory approvals for product candidates;</w:t>
      </w:r>
    </w:p>
    <w:p>
      <w:pPr>
        <w:spacing w:after="0" w:line="11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PREDATOR platform and our ability to use our platform to identify and develop future product candidates;</w:t>
      </w:r>
    </w:p>
    <w:p>
      <w:pPr>
        <w:spacing w:after="0" w:line="11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opportunities for our product candidates;</w:t>
      </w:r>
    </w:p>
    <w:p>
      <w:pPr>
        <w:spacing w:after="0" w:line="11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our expectations regarding our ability to obtain and maintain intellectual property protection;</w:t>
      </w:r>
    </w:p>
    <w:p>
      <w:pPr>
        <w:spacing w:after="0" w:line="111"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57"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111"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conditions, including inflation and the imposition of new or revised global trade tariffs;</w:t>
      </w:r>
    </w:p>
    <w:p>
      <w:pPr>
        <w:spacing w:after="0" w:line="111"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expectations regarding developments and projections relating to our competitors and any competing therapies that are or become available; and</w:t>
      </w:r>
    </w:p>
    <w:p>
      <w:pPr>
        <w:spacing w:after="0" w:line="57"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expectations regarding developments and projections relating to our competitors and our industry.</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particularly in Part II, Item 1A. “Risk Factors”, that we believe could cause actual results or events to differ materially from the forward-looking statements that we make. New risk factors and uncertainties may emerge from time to time, and it is not possible for management to predict all risk factors and uncertainties, nor can we assess the impact of all factors on our business or the extent to which 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factor, or combination of factors, may cause actual results to differ materially from those contained in any forward-looking statements we make. Our forward-looking statements do not reflect the potential impact of any future acquisitions, mergers, dispositions, collaborations, joint ventures or investments that we may make or enter into.</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have filed or incorporated by reference as exhibits to this Quarterly Report completely and with the understanding that our actual future results may be materially different from what we expect. The forward-looking statements contained in this Quarterly Report are made as of the date of this Quarterly Report, and we do not assume any obligation to update any forward-looking statements, whether as a result of new information, future events or otherwise, except as required by applicable law.</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Our statements should not be read to indicate that we have conducted an exhaustive inquiry into, or review of, all potentially available relevant information. These statements are inherently uncertain, and you are cautioned not to unduly rely on these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1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The service marks and trademarks that we own include the marks PREDATOR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INDUKINE™, and INDUCER™. Other trademarks, service marks and trade names appearing in this Quarterly Report are the property of their respective owners. Solely for convenience, some of the trademarks, service marks and trade names referred to in this Quarterly Report are listed without the ® and ™ symbols, but we will assert, to the fullest extent under applicable law, our rights to our trademarks, service marks and trade names.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business is subject to numerous risks that, if realized, could materially and adversely affect our business, financial condition, results of operations and future growth prospects. These risks are discussed more fully in Part II, Item 1A. “Risk Factors” in this Quarterly Report. These risks include, but are not limited to, the following:</w:t>
      </w:r>
    </w:p>
    <w:p>
      <w:pPr>
        <w:spacing w:after="0" w:line="72" w:lineRule="exact"/>
        <w:rPr>
          <w:sz w:val="20"/>
          <w:szCs w:val="20"/>
          <w:color w:val="auto"/>
        </w:rPr>
      </w:pPr>
    </w:p>
    <w:p>
      <w:pPr>
        <w:jc w:val="both"/>
        <w:ind w:left="640" w:hanging="634"/>
        <w:spacing w:after="0" w:line="25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there is substantial doubt about our ability to continue as a going concern for at least twelve months from the date that these condensed consolidated financial statements are issued in this Quarterly Report. We are currently evaluating strategies to raise additional capital, however, there can be no assurances that we will be successful in mitigating the conditions which raise substantial doubt about our ability to continue as a going concern in the near term, if at all.</w:t>
      </w:r>
    </w:p>
    <w:p>
      <w:pPr>
        <w:spacing w:after="0" w:line="74"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evaluation of strategic alternatives and ability to extend our capital resources.</w:t>
      </w:r>
    </w:p>
    <w:p>
      <w:pPr>
        <w:spacing w:after="0" w:line="111"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significant operating losses since our inception and expect to incur significant losses for the foreseeable future.</w:t>
      </w:r>
    </w:p>
    <w:p>
      <w:pPr>
        <w:spacing w:after="0" w:line="57"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We may never generate any revenue from product sales or become profitable or, if we achieve profitability, we may not be able to sustain it.</w:t>
      </w:r>
    </w:p>
    <w:p>
      <w:pPr>
        <w:spacing w:after="0" w:line="57"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obtain substantial additional funding to finance our operations and complete the development and any commercialization of WTX-124, WTX-330, our INDUCER molecules, and any future product candidates.</w:t>
      </w:r>
    </w:p>
    <w:p>
      <w:pPr>
        <w:spacing w:after="0" w:line="57"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our current product candidates will require successful completion of preclinical and clinical development before we can seek regulatory approval for any product candidates.</w:t>
      </w:r>
    </w:p>
    <w:p>
      <w:pPr>
        <w:spacing w:after="0" w:line="57" w:lineRule="exact"/>
        <w:rPr>
          <w:rFonts w:ascii="Times New Roman" w:cs="Times New Roman" w:eastAsia="Times New Roman" w:hAnsi="Times New Roman"/>
          <w:sz w:val="18"/>
          <w:szCs w:val="18"/>
          <w:color w:val="auto"/>
        </w:rPr>
      </w:pPr>
    </w:p>
    <w:p>
      <w:pPr>
        <w:jc w:val="both"/>
        <w:ind w:left="640" w:hanging="634"/>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success of our initial INDUKINE and INDUCER molecules, which are in the early stages of development and will require significant additional preclinical and clinical development before we can seek regulatory approval for and launch a product commercially.</w:t>
      </w:r>
    </w:p>
    <w:p>
      <w:pPr>
        <w:spacing w:after="0" w:line="71"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based on our PREDATOR platform is unproven, and we do not know whether we will be able to develop any products of commercial value.</w:t>
      </w:r>
    </w:p>
    <w:p>
      <w:pPr>
        <w:spacing w:after="0" w:line="57"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INDUKINE and INDUCER molecules is subject to risk since they are a novel class of multi-domain biologics that include protease cleavable linkers, and they have never been produced on a commercial scale. We may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be unable to manufacture INDUKINE and INDUCER molecules at the scale needed for clinical development and commercial production on a timely basis or at all.</w:t>
      </w:r>
    </w:p>
    <w:p>
      <w:pPr>
        <w:spacing w:after="0" w:line="57" w:lineRule="exact"/>
        <w:rPr>
          <w:sz w:val="20"/>
          <w:szCs w:val="20"/>
          <w:color w:val="auto"/>
        </w:rPr>
      </w:pPr>
    </w:p>
    <w:p>
      <w:pPr>
        <w:ind w:left="640" w:hanging="634"/>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and clinical trials are expensive, time-consuming and difficult to design and implement, and involve uncertain outcomes.</w:t>
      </w:r>
    </w:p>
    <w:p>
      <w:pPr>
        <w:spacing w:after="0" w:line="111"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the commencement or completion, or termination or suspension, of our clinical trials, which could result in increased costs to us, delay or limit our ability to generate revenue and adversely affect our commercial prospects.</w:t>
      </w:r>
    </w:p>
    <w:p>
      <w:pPr>
        <w:spacing w:after="0" w:line="57"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clinical development activities could be delayed or otherwise adversely affected.</w:t>
      </w:r>
    </w:p>
    <w:p>
      <w:pPr>
        <w:spacing w:after="0" w:line="57" w:lineRule="exact"/>
        <w:rPr>
          <w:rFonts w:ascii="Times New Roman" w:cs="Times New Roman" w:eastAsia="Times New Roman" w:hAnsi="Times New Roman"/>
          <w:sz w:val="18"/>
          <w:szCs w:val="18"/>
          <w:color w:val="auto"/>
        </w:rPr>
      </w:pPr>
    </w:p>
    <w:p>
      <w:pPr>
        <w:jc w:val="both"/>
        <w:ind w:left="640" w:hanging="634"/>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developing WTX-124, and could potentially develop WTX-330 and future product candidates, in combination with third-party drugs, some of which may still be in development, and we will have limited or no control over the safety, supply, regulatory status or regulatory approval of such drugs.</w:t>
      </w:r>
    </w:p>
    <w:p>
      <w:pPr>
        <w:spacing w:after="0" w:line="71"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7" w:lineRule="exact"/>
        <w:rPr>
          <w:rFonts w:ascii="Times New Roman" w:cs="Times New Roman" w:eastAsia="Times New Roman" w:hAnsi="Times New Roman"/>
          <w:sz w:val="18"/>
          <w:szCs w:val="18"/>
          <w:color w:val="auto"/>
        </w:rPr>
      </w:pPr>
    </w:p>
    <w:p>
      <w:pPr>
        <w:jc w:val="both"/>
        <w:ind w:left="640" w:hanging="634"/>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preclinical studies and clinical trials. If these third parties do not successfully carry out their contractual duties or meet expected deadlines or comply with regulatory requirements, we may not be able to obtain regulatory approval of or commercialize any product candidates.</w:t>
      </w:r>
    </w:p>
    <w:p>
      <w:pPr>
        <w:spacing w:after="0" w:line="71"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of biologics is complex, and we do not have our own clinical manufacturing capabilities. We will rely on third parties to produce preclinical, clinical and commercial supplies of all current and any future product candidates.</w:t>
      </w:r>
    </w:p>
    <w:p>
      <w:pPr>
        <w:spacing w:after="0" w:line="57" w:lineRule="exact"/>
        <w:rPr>
          <w:rFonts w:ascii="Times New Roman" w:cs="Times New Roman" w:eastAsia="Times New Roman" w:hAnsi="Times New Roman"/>
          <w:sz w:val="18"/>
          <w:szCs w:val="18"/>
          <w:color w:val="auto"/>
        </w:rPr>
      </w:pPr>
    </w:p>
    <w:p>
      <w:pPr>
        <w:jc w:val="both"/>
        <w:ind w:left="640" w:hanging="634"/>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license agreement with Harpoon Therapeutics, Inc. for patent rights with respect to our product candidates and may in the future acquire additional third-party intellectual property rights on which we may similarly rely. We face risks with respect to such reliance, including the risk that we could lose these rights that are important to our business if we fail to comply with our obligations under these licenses.</w:t>
      </w:r>
    </w:p>
    <w:p>
      <w:pPr>
        <w:spacing w:after="0" w:line="71" w:lineRule="exact"/>
        <w:rPr>
          <w:rFonts w:ascii="Times New Roman" w:cs="Times New Roman" w:eastAsia="Times New Roman" w:hAnsi="Times New Roman"/>
          <w:sz w:val="18"/>
          <w:szCs w:val="18"/>
          <w:color w:val="auto"/>
        </w:rPr>
      </w:pPr>
    </w:p>
    <w:p>
      <w:pPr>
        <w:ind w:left="640" w:hanging="634"/>
        <w:spacing w:after="0" w:line="27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position in part depends upon patents that are manufacturing, formulation or method-of-use patents, which may not prevent a competitor or other third party from using the same product candidate for another use.</w:t>
      </w:r>
    </w:p>
    <w:p>
      <w:pPr>
        <w:spacing w:after="0" w:line="57" w:lineRule="exact"/>
        <w:rPr>
          <w:rFonts w:ascii="Times New Roman" w:cs="Times New Roman" w:eastAsia="Times New Roman" w:hAnsi="Times New Roman"/>
          <w:sz w:val="18"/>
          <w:szCs w:val="18"/>
          <w:color w:val="auto"/>
        </w:rPr>
      </w:pPr>
    </w:p>
    <w:p>
      <w:pPr>
        <w:jc w:val="both"/>
        <w:ind w:left="640" w:hanging="634"/>
        <w:spacing w:after="0" w:line="259"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Werewolf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7"/>
                <w:szCs w:val="17"/>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2"/>
        </w:trPr>
        <w:tc>
          <w:tcPr>
            <w:tcW w:w="78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4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5"/>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57,050</w:t>
            </w:r>
          </w:p>
        </w:tc>
      </w:tr>
      <w:tr>
        <w:trPr>
          <w:trHeight w:val="265"/>
        </w:trPr>
        <w:tc>
          <w:tcPr>
            <w:tcW w:w="7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45"/>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58,586</w:t>
            </w:r>
          </w:p>
        </w:tc>
      </w:tr>
      <w:tr>
        <w:trPr>
          <w:trHeight w:val="26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r>
      <w:tr>
        <w:trPr>
          <w:trHeight w:val="26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net of current portion</w:t>
            </w:r>
          </w:p>
        </w:tc>
        <w:tc>
          <w:tcPr>
            <w:tcW w:w="2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6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r>
      <w:tr>
        <w:trPr>
          <w:trHeight w:val="26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69,396</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2"/>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4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5"/>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65"/>
        </w:trPr>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w:t>
            </w:r>
          </w:p>
        </w:tc>
      </w:tr>
      <w:tr>
        <w:trPr>
          <w:trHeight w:val="265"/>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65"/>
        </w:trPr>
        <w:tc>
          <w:tcPr>
            <w:tcW w:w="7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Note payable, net of discount and issuance costs</w:t>
            </w:r>
          </w:p>
        </w:tc>
        <w:tc>
          <w:tcPr>
            <w:tcW w:w="2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28,236</w:t>
            </w:r>
          </w:p>
        </w:tc>
      </w:tr>
      <w:tr>
        <w:trPr>
          <w:trHeight w:val="245"/>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36,148</w:t>
            </w:r>
          </w:p>
        </w:tc>
      </w:tr>
      <w:tr>
        <w:trPr>
          <w:trHeight w:val="26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7,684</w:t>
            </w:r>
          </w:p>
        </w:tc>
      </w:tr>
      <w:tr>
        <w:trPr>
          <w:trHeight w:val="26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w:t>
            </w: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18"/>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44,591</w:t>
            </w:r>
          </w:p>
        </w:tc>
      </w:tr>
      <w:tr>
        <w:trPr>
          <w:trHeight w:val="22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4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0"/>
        </w:trPr>
        <w:tc>
          <w:tcPr>
            <w:tcW w:w="786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as of March 31, 2026 and December 31,</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3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no shares issued or outstanding as of March 31, 2026 and December 31, 2025</w:t>
            </w:r>
          </w:p>
        </w:tc>
        <w:tc>
          <w:tcPr>
            <w:tcW w:w="2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78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Common stock, $0.0001 par value, 200,000,000 shares authorized as of March 31, 2026 and December 31,</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48,596,817 shares issued and outstanding as of March 31, 2026 and December 31, 2025</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5"/>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500,210</w:t>
            </w:r>
          </w:p>
        </w:tc>
      </w:tr>
      <w:tr>
        <w:trPr>
          <w:trHeight w:val="265"/>
        </w:trPr>
        <w:tc>
          <w:tcPr>
            <w:tcW w:w="7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(488,942)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(475,410)</w:t>
            </w:r>
          </w:p>
        </w:tc>
      </w:tr>
      <w:tr>
        <w:trPr>
          <w:trHeight w:val="245"/>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24,805</w:t>
            </w:r>
          </w:p>
        </w:tc>
      </w:tr>
      <w:tr>
        <w:trPr>
          <w:trHeight w:val="219"/>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69,396</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Werewolf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2"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65"/>
        </w:trPr>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100" w:type="dxa"/>
            <w:vAlign w:val="bottom"/>
          </w:tcPr>
          <w:p>
            <w:pPr>
              <w:spacing w:after="0"/>
              <w:rPr>
                <w:sz w:val="23"/>
                <w:szCs w:val="23"/>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r>
      <w:tr>
        <w:trPr>
          <w:trHeight w:val="265"/>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r>
      <w:tr>
        <w:trPr>
          <w:trHeight w:val="245"/>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17,991</w:t>
            </w: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(17,991)</w:t>
            </w: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5"/>
        </w:trPr>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25"/>
        </w:trPr>
        <w:tc>
          <w:tcPr>
            <w:tcW w:w="7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9"/>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other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6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diluted</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3"/>
                <w:szCs w:val="23"/>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48,596,817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44,827,159</w:t>
            </w:r>
          </w:p>
        </w:tc>
      </w:tr>
      <w:tr>
        <w:trPr>
          <w:trHeight w:val="231"/>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49,388,181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44,827,159</w:t>
            </w:r>
          </w:p>
        </w:tc>
      </w:tr>
    </w:tbl>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Werewolf Therapeutics,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4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Additional Paid-in</w:t>
            </w: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Total Stockholders’</w:t>
            </w:r>
          </w:p>
        </w:tc>
      </w:tr>
      <w:tr>
        <w:trPr>
          <w:trHeight w:val="232"/>
        </w:trPr>
        <w:tc>
          <w:tcPr>
            <w:tcW w:w="2940" w:type="dxa"/>
            <w:vAlign w:val="bottom"/>
          </w:tcPr>
          <w:p>
            <w:pPr>
              <w:spacing w:after="0"/>
              <w:rPr>
                <w:sz w:val="20"/>
                <w:szCs w:val="20"/>
                <w:color w:val="auto"/>
              </w:rPr>
            </w:pPr>
          </w:p>
        </w:tc>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120" w:type="dxa"/>
            <w:vAlign w:val="bottom"/>
          </w:tcPr>
          <w:p>
            <w:pPr>
              <w:spacing w:after="0"/>
              <w:rPr>
                <w:sz w:val="20"/>
                <w:szCs w:val="20"/>
                <w:color w:val="auto"/>
              </w:rPr>
            </w:pPr>
          </w:p>
        </w:tc>
        <w:tc>
          <w:tcPr>
            <w:tcW w:w="16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8"/>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48,596,817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500,210</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(475,410)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24,805</w:t>
            </w:r>
          </w:p>
        </w:tc>
      </w:tr>
      <w:tr>
        <w:trPr>
          <w:trHeight w:val="22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w:t>
            </w:r>
          </w:p>
        </w:tc>
      </w:tr>
      <w:tr>
        <w:trPr>
          <w:trHeight w:val="192"/>
        </w:trPr>
        <w:tc>
          <w:tcPr>
            <w:tcW w:w="294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3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48,596,817</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501,139</w:t>
            </w:r>
          </w:p>
        </w:tc>
        <w:tc>
          <w:tcPr>
            <w:tcW w:w="8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ind w:right="372"/>
              <w:spacing w:after="0" w:line="19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(488,942)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12,202</w:t>
            </w:r>
          </w:p>
        </w:tc>
      </w:tr>
      <w:tr>
        <w:trPr>
          <w:trHeight w:val="20"/>
        </w:trPr>
        <w:tc>
          <w:tcPr>
            <w:tcW w:w="2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4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Additional Paid-in</w:t>
            </w: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Total Stockholders’</w:t>
            </w:r>
          </w:p>
        </w:tc>
      </w:tr>
      <w:tr>
        <w:trPr>
          <w:trHeight w:val="232"/>
        </w:trPr>
        <w:tc>
          <w:tcPr>
            <w:tcW w:w="2940" w:type="dxa"/>
            <w:vAlign w:val="bottom"/>
          </w:tcPr>
          <w:p>
            <w:pPr>
              <w:spacing w:after="0"/>
              <w:rPr>
                <w:sz w:val="20"/>
                <w:szCs w:val="20"/>
                <w:color w:val="auto"/>
              </w:rPr>
            </w:pPr>
          </w:p>
        </w:tc>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120" w:type="dxa"/>
            <w:vAlign w:val="bottom"/>
          </w:tcPr>
          <w:p>
            <w:pPr>
              <w:spacing w:after="0"/>
              <w:rPr>
                <w:sz w:val="20"/>
                <w:szCs w:val="20"/>
                <w:color w:val="auto"/>
              </w:rPr>
            </w:pPr>
          </w:p>
        </w:tc>
        <w:tc>
          <w:tcPr>
            <w:tcW w:w="16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8"/>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44,827,159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487,973</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(414,588)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73,390</w:t>
            </w:r>
          </w:p>
        </w:tc>
      </w:tr>
      <w:tr>
        <w:trPr>
          <w:trHeight w:val="225"/>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25"/>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w:t>
            </w:r>
          </w:p>
        </w:tc>
      </w:tr>
      <w:tr>
        <w:trPr>
          <w:trHeight w:val="218"/>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44,827,159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489,979</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(432,677)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57,307</w:t>
            </w:r>
          </w:p>
        </w:tc>
      </w:tr>
      <w:tr>
        <w:trPr>
          <w:trHeight w:val="20"/>
        </w:trPr>
        <w:tc>
          <w:tcPr>
            <w:tcW w:w="2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Werewolf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1"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5"/>
        </w:trPr>
        <w:tc>
          <w:tcPr>
            <w:tcW w:w="78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(13,532)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5"/>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r>
      <w:tr>
        <w:trPr>
          <w:trHeight w:val="225"/>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18"/>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w:t>
            </w:r>
          </w:p>
        </w:tc>
      </w:tr>
      <w:tr>
        <w:trPr>
          <w:trHeight w:val="21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 and cash equivalents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(10,597)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112,215</w:t>
            </w:r>
          </w:p>
        </w:tc>
      </w:tr>
      <w:tr>
        <w:trPr>
          <w:trHeight w:val="21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equivalents—end of period</w:t>
            </w: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93,267</w:t>
            </w:r>
          </w:p>
        </w:tc>
      </w:tr>
      <w:tr>
        <w:trPr>
          <w:trHeight w:val="39"/>
        </w:trPr>
        <w:tc>
          <w:tcPr>
            <w:tcW w:w="78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8"/>
        </w:trPr>
        <w:tc>
          <w:tcPr>
            <w:tcW w:w="786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and cash equivalents to the condensed</w:t>
            </w: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2"/>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92,042</w:t>
            </w: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net of current portion</w:t>
            </w:r>
          </w:p>
        </w:tc>
        <w:tc>
          <w:tcPr>
            <w:tcW w:w="10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r>
      <w:tr>
        <w:trPr>
          <w:trHeight w:val="21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and cash equivalents</w:t>
            </w:r>
          </w:p>
        </w:tc>
        <w:tc>
          <w:tcPr>
            <w:tcW w:w="100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93,267</w:t>
            </w:r>
          </w:p>
        </w:tc>
      </w:tr>
      <w:tr>
        <w:trPr>
          <w:trHeight w:val="39"/>
        </w:trPr>
        <w:tc>
          <w:tcPr>
            <w:tcW w:w="78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costs in accounts payable and accrued expenses</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Werewolf Therapeutics,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Werewolf Therapeutics, Inc. was incorporated in the state of Delaware in October 2017. As used throughout these unaudited, condensed consolidated financial statements, the terms “Werewolf,” the “Company,” “we,” “us,” and “our” refer to the business of Werewolf Therapeutics, Inc., and its wholly owned subsidiary. We are an innovative biopharmaceutical company pioneering the development of therapeutics engineered to stimulate the body’s immune system for the treatment of cancer and other immune-mediated conditions. Our headquarters are located in Watertown, Massachusetts.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Since inception, we have devoted substantially all of our efforts and financial resources to organizing and staffing the company; business planning; raising capital; developing and optimizing our platform technology; identifying potential product candidates; enhancing our intellectual property portfolio; undertaking research, preclinical studies, and clinical trials; and enabling manufacturing for our development programs. We are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our product development efforts are successful, it is uncertain when, if ever, we will realize significant revenue from product sales.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Strategic Review and Liquidity</w:t>
      </w:r>
    </w:p>
    <w:p>
      <w:pPr>
        <w:spacing w:after="0" w:line="1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 February 2026, we adopted a restructuring plan to extend our capital resources (the “2026 Restructuring”) in connection with initiating a process to explore a full range of strategic alternatives to advance our promising platform and drug development pipeline to maximize stockholder value. We have engaged Piper Sandler &amp; Co. (“Piper Sandler”) to serve as exclusive financial advisor to assist in the strategic review process. Measures contemplated during the strategic review process include the asset purchase agreement described in Note 12, and may also include, among other options, a sale of the Company, a business combination or merger, a sale of our assets, licensing or collaboration arrangements, or other strategic transactions. There can be no assurance that the strategic review process will result in any agreement or transaction that will enhance stockholder value, or any agreement or transaction at all.</w:t>
      </w:r>
    </w:p>
    <w:p>
      <w:pPr>
        <w:spacing w:after="0" w:line="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part of the 2026 Restructuring, our board of directors approved a reduction in force, representing 64% of our workforce to better align our resources with our pursuit of strategic alternatives. See Note 11 for further discussion of the impact of the 2026 Restructuring.</w:t>
      </w:r>
    </w:p>
    <w:p>
      <w:pPr>
        <w:spacing w:after="0" w:line="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had cash and cash equivalents of $46.5 million at March 31, 2026. The outcome of our strategic review process will inform future development plans and the costs associated with those efforts. We expect to incur substantial operating losses and negative cash flows from operations for the foreseeable future as we continue to execute on our strategic review process. Our ability to maintain ongoing operations is dependent on our ability to obtain additional financing, as to which we can make no assurance. These conditions raise substantial doubt about our ability to continue as a going concern for at least twelve months from the date these condensed consolidated financial statements are issued in this Quarterly Report. There can be no assurance that the strategic review process will result in any agreement or transaction that will mitigate the conditions which raise substantial doubt about our ability to continue as a going concern, or at all.</w:t>
      </w:r>
    </w:p>
    <w:p>
      <w:pPr>
        <w:spacing w:after="0" w:line="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on a going concern basis, which contemplates the realization of assets and settlement of liabilities and commitments in the ordinary course of business. Our condensed consolidated financial statements do not include any adjustments that might result from the outcome of the conditions described above.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March 31, 2026 and December 31, 2025, and for the three months ended March 31, 2026 and 2025, have been prepared in accordance with the rules and regulations of the Securities and Exchange Commission (the “SEC”) and generally accepted accounting principles in the United States of America (“GAAP”) as found in the Accounting Standards Codification (“ASC”) and Accounting Standards Updates (“ASU”) of the Financial Accounting Standards Board (“FASB”) for condensed consolidated financial information. Accordingly, they do not include all of the information and footnotes required by GAAP for complete financial statements. In the opinion of management, these condensed consolidated financial statements reflect all normal recurring adjustments which are necessary for a fair presentation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of our financial position and results of our operations, as of and for the periods presented. These condensed consolidated financial statements should be read in conjunction with the consolidated financial statements and notes thereto contained in our Annual Report on Form 10-K for the year ended December 31, 2025 filed with the SEC on March 27, 2026 (the “2025 Annual Report”).</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information presented in the condensed consolidated financial statements and related notes as of March 31, 2026, and for the three months ended March 31, 2026 and 2025, is unaudited. The December 31, 2025 condensed consolidated balance sheet included herein was derived from the audited financial statements as of that date, but does not include all disclosures, including notes, required by GAAP for complete financial statements.</w:t>
      </w:r>
    </w:p>
    <w:p>
      <w:pPr>
        <w:spacing w:after="0" w:line="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Interim results for the three months ended March 31, 2026 are not necessarily indicative of the results that may be expected for the fiscal year ending December 31, 2026, or any future period.</w:t>
      </w:r>
    </w:p>
    <w:p>
      <w:pPr>
        <w:spacing w:after="0" w:line="5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Werewolf Therapeutics, Inc. and its wholly owned subsidiary, Werewolf Therapeutics Mass Securities, Inc. All intercompany transactions and balances have been eliminated in consolidation.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condensed consolidated financial statements are described in our audited financial statements as of and for the year ended December 31, 2025, and the notes thereto, which are included in our 2025 Annual Report. Other than as set forth below, there have been no material changes in our significant accounting policies during the three months ended March 31,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Significant estimates and assumptions reflected in these condensed consolidated financial statements include, but are not limited to, those related to accrued expenses and assumptions used in the valuation of stock-based compensation expense and the fair value of the derivative liability. Actual results could differ from those estimates.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220-04) </w:t>
      </w:r>
      <w:r>
        <w:rPr>
          <w:rFonts w:ascii="Times New Roman" w:cs="Times New Roman" w:eastAsia="Times New Roman" w:hAnsi="Times New Roman"/>
          <w:sz w:val="18"/>
          <w:szCs w:val="18"/>
          <w:color w:val="auto"/>
        </w:rPr>
        <w:t>(“ASU No. 2024-03”), which requires the disclosure of additional information about specific expense categories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at interim and annual reporting periods. The provisions of ASU No. 2024-03 are effective for annual reporting periods beginning after December 31, 2026, with early adoption permitted. We are currently evaluating the impact that this standard will have on our consolidated financial statements.</w:t>
      </w:r>
    </w:p>
    <w:p>
      <w:pPr>
        <w:spacing w:after="0" w:line="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evaluated subsequent events and transactions that occurred after the balance sheet date up to the date that the financial statements were issued. Other than as described in Note 12, we did not identify any subsequent events that require adjustment or disclosure in the condensed consolidated financial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Instruments and Fair Value Measurements</w:t>
      </w:r>
    </w:p>
    <w:p>
      <w:pPr>
        <w:spacing w:after="0" w:line="11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Our assets that are required to be measured at fair value on a recurring basis consist of money market funds classified as cash and cash equivalents on our condensed consolidated balance sheets as of March 31, 2026 and December 31, 2025.</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Our liabilities that are required to be measured at fair value on a recurring basis consist of a derivative liability pursuant to a loan and security agreement (the “K2HV Loan Agreement”) with K2 HealthVentures LLC (“K2HV”) (see Note 6, </w:t>
      </w: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 on our condensed consolidated balance sheets as of March 31, 2026 and December 31, 2025.</w:t>
      </w:r>
    </w:p>
    <w:p>
      <w:pPr>
        <w:spacing w:after="0" w:line="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carrying amounts reflected in the condensed consolidated balance sheets for cash, prepaid expenses and other current assets, accounts payable and accrued expenses approximate their fair values, due to their short-term nature.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March 31, 2026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0"/>
                <w:szCs w:val="20"/>
                <w:color w:val="auto"/>
              </w:rPr>
            </w:pPr>
          </w:p>
        </w:tc>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40" w:type="dxa"/>
            <w:vAlign w:val="bottom"/>
          </w:tcPr>
          <w:p>
            <w:pPr>
              <w:spacing w:after="0"/>
              <w:rPr>
                <w:sz w:val="20"/>
                <w:szCs w:val="20"/>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0"/>
                <w:szCs w:val="20"/>
                <w:color w:val="auto"/>
              </w:rPr>
            </w:pP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2"/>
        </w:trPr>
        <w:tc>
          <w:tcPr>
            <w:tcW w:w="44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46,276</w:t>
            </w:r>
          </w:p>
        </w:tc>
        <w:tc>
          <w:tcPr>
            <w:tcW w:w="0" w:type="dxa"/>
            <w:vAlign w:val="bottom"/>
          </w:tcPr>
          <w:p>
            <w:pPr>
              <w:spacing w:after="0"/>
              <w:rPr>
                <w:sz w:val="1"/>
                <w:szCs w:val="1"/>
                <w:color w:val="auto"/>
              </w:rPr>
            </w:pPr>
          </w:p>
        </w:tc>
      </w:tr>
      <w:tr>
        <w:trPr>
          <w:trHeight w:val="244"/>
        </w:trPr>
        <w:tc>
          <w:tcPr>
            <w:tcW w:w="4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46,276</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4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December 31, 2025 were as follows: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24"/>
                <w:szCs w:val="24"/>
                <w:color w:val="auto"/>
              </w:rPr>
            </w:pPr>
          </w:p>
        </w:tc>
        <w:tc>
          <w:tcPr>
            <w:tcW w:w="14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40" w:type="dxa"/>
            <w:vAlign w:val="bottom"/>
          </w:tcPr>
          <w:p>
            <w:pPr>
              <w:spacing w:after="0"/>
              <w:rPr>
                <w:sz w:val="24"/>
                <w:szCs w:val="24"/>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4"/>
                <w:szCs w:val="24"/>
                <w:color w:val="auto"/>
              </w:rPr>
            </w:pP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2"/>
        </w:trPr>
        <w:tc>
          <w:tcPr>
            <w:tcW w:w="44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vMerge w:val="continue"/>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56,548</w:t>
            </w:r>
          </w:p>
        </w:tc>
        <w:tc>
          <w:tcPr>
            <w:tcW w:w="0" w:type="dxa"/>
            <w:vAlign w:val="bottom"/>
          </w:tcPr>
          <w:p>
            <w:pPr>
              <w:spacing w:after="0"/>
              <w:rPr>
                <w:sz w:val="1"/>
                <w:szCs w:val="1"/>
                <w:color w:val="auto"/>
              </w:rPr>
            </w:pPr>
          </w:p>
        </w:tc>
      </w:tr>
      <w:tr>
        <w:trPr>
          <w:trHeight w:val="243"/>
        </w:trPr>
        <w:tc>
          <w:tcPr>
            <w:tcW w:w="4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43"/>
        </w:trPr>
        <w:tc>
          <w:tcPr>
            <w:tcW w:w="4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valuation techniques used during the three months ended March 31, 2026.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Liability</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May 2024, we entered into the K2HV Loan Agreement, as further described in Note 6, which provided up to $60.0 million principal in term loans. Pursuant to the terms of the K2HV Loan Agreement, the lenders thereto could elect, prior to the full repayment of the term loans, to convert up to $5.0 million of the outstanding principal of the term loans into shares of our common stock at a conversion price of the lesser of $6.3182 per share (the “Fixed Price Conversion”) and the lowest effective price per share of our first equity financing following the closing of the K2HV Loan Agreement (the “Variable Price Conversion”), subject to customary adjustments and 9.99% and 19.99% beneficial ownership limitations. The Fixed Price Conversion and Variable Price Conversion within the K2HV Loan Agreement were required to be bifurcated as a single compound embedded derivative carried at fair value, with subsequent changes in fair value recognized in the condensed consolidated statements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derivative liability based on Level 3 inputs: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0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r>
      <w:tr>
        <w:trPr>
          <w:trHeight w:val="219"/>
        </w:trPr>
        <w:tc>
          <w:tcPr>
            <w:tcW w:w="72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r>
      <w:tr>
        <w:trPr>
          <w:trHeight w:val="233"/>
        </w:trPr>
        <w:tc>
          <w:tcPr>
            <w:tcW w:w="7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60" w:type="dxa"/>
            <w:vAlign w:val="bottom"/>
            <w:gridSpan w:val="3"/>
          </w:tcPr>
          <w:p>
            <w:pPr>
              <w:jc w:val="right"/>
              <w:ind w:right="91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40" w:type="dxa"/>
            <w:vAlign w:val="bottom"/>
          </w:tcPr>
          <w:p>
            <w:pPr>
              <w:spacing w:after="0"/>
              <w:rPr>
                <w:sz w:val="20"/>
                <w:szCs w:val="20"/>
                <w:color w:val="auto"/>
              </w:rPr>
            </w:pPr>
          </w:p>
        </w:tc>
      </w:tr>
      <w:tr>
        <w:trPr>
          <w:trHeight w:val="25"/>
        </w:trPr>
        <w:tc>
          <w:tcPr>
            <w:tcW w:w="7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25"/>
        </w:trPr>
        <w:tc>
          <w:tcPr>
            <w:tcW w:w="7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3"/>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40" w:type="dxa"/>
            <w:vAlign w:val="bottom"/>
            <w:tcBorders>
              <w:bottom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change in fair value of the derivative liability is included in other income, net in the accompanying condensed consolidated statements of operations. We recognized gains of $0.7 million and $0.2 million related to change in fair value of the derivative liability during the three months ended March 31, 2026 and 2025,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fair value of the derivative liability in the term loan was estimated using the Monte Carlo and the Black-Scholes models, each weighted based on the probable outcomes of various scenarios. A summary of the weighted-average significant unobservable inputs (Level 3 inputs) used in measuring the derivative liability in the term loan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78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$0.63</w:t>
            </w: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99.7%</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105.0%</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(continuous)</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3.5%</w:t>
            </w: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2.09</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0.25</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 (continuous)</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May 6, 2026, we repaid all amounts owed under the K2HV Loan Agreement, as described further in Note 12. No portion of the Fixed Price Conversion or the Variable Price Conversion had been exercised prior to the repayment of the term loans.</w:t>
      </w:r>
    </w:p>
    <w:p>
      <w:pPr>
        <w:sectPr>
          <w:pgSz w:w="11900" w:h="16838" w:orient="portrait"/>
          <w:cols w:equalWidth="0" w:num="1">
            <w:col w:w="11240"/>
          </w:cols>
          <w:pgMar w:left="320" w:top="121" w:right="339" w:bottom="1440" w:gutter="0" w:footer="0" w:header="0"/>
        </w:sectPr>
      </w:pP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and other current liabilities were comprised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543560</wp:posOffset>
            </wp:positionV>
            <wp:extent cx="7134860" cy="168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Professional fees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Contract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costs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interest</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Term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7"/>
                <w:szCs w:val="17"/>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5"/>
        </w:trPr>
        <w:tc>
          <w:tcPr>
            <w:tcW w:w="280" w:type="dxa"/>
            <w:vAlign w:val="bottom"/>
          </w:tcPr>
          <w:p>
            <w:pPr>
              <w:spacing w:after="0"/>
              <w:rPr>
                <w:sz w:val="20"/>
                <w:szCs w:val="20"/>
                <w:color w:val="auto"/>
              </w:rPr>
            </w:pPr>
          </w:p>
        </w:tc>
        <w:tc>
          <w:tcPr>
            <w:tcW w:w="3100" w:type="dxa"/>
            <w:vAlign w:val="bottom"/>
            <w:gridSpan w:val="4"/>
          </w:tcPr>
          <w:p>
            <w:pPr>
              <w:jc w:val="right"/>
              <w:ind w:right="1212"/>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92"/>
        </w:trPr>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65"/>
        </w:trPr>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r>
      <w:tr>
        <w:trPr>
          <w:trHeight w:val="265"/>
        </w:trPr>
        <w:tc>
          <w:tcPr>
            <w:tcW w:w="2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9"/>
        </w:trPr>
        <w:tc>
          <w:tcPr>
            <w:tcW w:w="2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5"/>
        </w:trPr>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5"/>
        </w:trPr>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30"/>
        </w:trPr>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8"/>
        </w:trPr>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5,407</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485" w:lineRule="exact"/>
        <w:rPr>
          <w:sz w:val="20"/>
          <w:szCs w:val="20"/>
          <w:color w:val="auto"/>
        </w:rPr>
      </w:pPr>
    </w:p>
    <w:p>
      <w:pPr>
        <w:sectPr>
          <w:pgSz w:w="11900" w:h="16838" w:orient="portrait"/>
          <w:cols w:equalWidth="0" w:num="2">
            <w:col w:w="7140" w:space="720"/>
            <w:col w:w="3380"/>
          </w:cols>
          <w:pgMar w:left="320" w:top="121" w:right="339" w:bottom="1440" w:gutter="0" w:footer="0" w:header="0"/>
          <w:type w:val="continuous"/>
        </w:sect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May 2024, we, as borrower, entered into the K2HV Loan Agreement with K2HV (together with any other lender from time to time, the “Lenders”); K2HV, as administrative agent for the Lenders (in such capacity, together with its successors, the “Administrative Agent”); and Ankura Trust Company, LLC, as collateral trustee for the Lenders (the “Collateral Trustee”). The K2HV Loan Agreement provided up to $60.0 million principal in term loans. We received $30.0 million in gross loan proceeds at closing; $25.0 million from the first tranche commitment and $5.0 million from the second tranche commitment. A third tranche commitment of up to $10.0 million was available to be drawn at our option through June 30, 2025, subject to the achievement, as determined by the Administrative Agent in its discretion, of certain time-based, clinical and regulatory milestones and receipt of not less than $60.0 million in net cash proceeds from certain financing activities, with at least $50.0 million from a single offering of common stock. Our ability to draw upon the third tranche commitment expired on June 30, 2025 without being drawn upon. A fourth tranche commitment of up to $20.0 million was available to be drawn at our option through May 1, 2026, subject to Lender’s review of our clinical, financial and operating plan and subject to the Lender’s consent in its sole and absolute discretion. Our ability to draw upon the fourth tranche commitment expired on May 1, 2026 without being drawn upon.</w:t>
      </w:r>
    </w:p>
    <w:p>
      <w:pPr>
        <w:spacing w:after="0" w:line="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term loan was scheduled to mature on May 1, 2028, and we were obligated to make interest only payments for the first 24 months followed by interest and equal principal payments each month thereafter through the maturity date. The term loan bore a variable interest rate equal to the greater of (i) 10.3%, and</w:t>
      </w:r>
    </w:p>
    <w:p>
      <w:pPr>
        <w:jc w:val="both"/>
        <w:ind w:firstLine="6"/>
        <w:spacing w:after="0" w:line="246"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prime rate last quoted in The Wall Street Journal (or a comparable replacement rate if The Wall Street Journal ceases to quote such rate) and (B) 1.8%. We could prepay, at our option, all, but not less than all, of the outstanding principal balance and all accrued and unpaid interest with respect to the principal balance being prepaid of the term loans, subject to a prepayment premium to which the Lenders were entitled and certain notice requirements. We were obligated to pay a final fee equal to 6.95% of the aggregate amount of the term loans funded, or the Final Fee, to occur upon the earliest of (i) the maturity date, (ii) the acceleration of the term loans, and (iii) the prepayment of the term loans. The Final Fee was being accreted to interest expense using the effective interest method over the life of the debt.</w:t>
      </w:r>
    </w:p>
    <w:p>
      <w:pPr>
        <w:spacing w:after="0" w:line="8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Lenders had the option, prior to the full repayment of the term loans, to convert up to $5.0 million of outstanding principal of the term loans into shares of our common stock, pursuant to the Fixed Price Conversion or the Variable Price Conversion,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subject to customary adjustments and 9.99% and 19.99% beneficial ownership limitations. There would have been no prepayment penalty for any principal amount converted into common stock. We determined that the Fixed Price Conversion and the Variable Price Conversion within the K2HV Loan Agreement were required to be bifurcated as an embedded derivative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at fair value, and recorded as a discount on the debt on the date of issuance, with subsequent changes in fair value recognized in the accompanying condensed consolidated statements of operations. See Note 4 for further discussion on this derivative instrument.</w:t>
      </w:r>
    </w:p>
    <w:p>
      <w:pPr>
        <w:spacing w:after="0" w:line="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security for our obligations under the K2HV Loan Agreement, we granted the Lenders a first priority security interest on substantially all of our assets (other than intellectual property), subject to certain exceptions. The K2HV Loan Agreement contained customary representations and warranties, events of default and affirmative and negative covenants, including covenants that limited or restricted our ability to, among other things, dispose of assets, make changes to our business, management, ownership or business locations, merge or consolidate, incur additional indebtedness, incur additional liens, pay dividends or other distributions or repurchase equity, make investments, and enter into certain transactions with affiliates, in each case subject to certain exceptions. Upon the occurrence of an event of default, a default interest rate of an additional 5.0% per annum may have been applied to the outstanding loan balances, and the Lenders may have declared all outstanding obligations immediately due and payable and exercised all of their rights and remedies as set forth in the K2HV Loan Agreement and under applicable law. As of March 31, 2026, we were in compliance with all covenants.</w:t>
      </w:r>
    </w:p>
    <w:p>
      <w:pPr>
        <w:spacing w:after="0" w:line="8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Subject to certain conditions, we granted the Lenders the right, prior to repayment of the term loans, to invest up to $5.0 million in the aggregate in future offerings of capital stock, at market terms, subject to certain exceptions and conditions.</w:t>
      </w:r>
    </w:p>
    <w:p>
      <w:pPr>
        <w:spacing w:after="0" w:line="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incurred debt issuance costs of $0.7 million in connection with the term loans, composed of the facility fee of $0.4 million and other expenses paid to the Lenders of $0.2 million and external legal fees of $0.1 million. These debt issuance costs, together with the fair value of the embedded derivative of $4.5 million at inception of the K2HV Loan Agreement, resulted in a debt discount of $5.1 million which was being amortized to interest expense over the term of the K2HV Loan Agreement using the effective interest method. As of March 31, 2026, the fair value of the term loan was estimated to be approximately $29.7 million. The fair value was measured using a discounted cash flow analysis, specifically the yield method, which requires the use of Level 3 inputs in the fair value hierarchy.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outstanding term loans payable consists of the following:</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6"/>
          </w:tcPr>
          <w:p>
            <w:pPr>
              <w:jc w:val="right"/>
              <w:ind w:right="107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8"/>
              </w:rPr>
              <w:t>(1,169)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8"/>
              </w:rPr>
              <w:t>(1,764)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carrying amount of note payable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28,831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28,236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the components of interest expense related to the K2HV Loan Agreement: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6"/>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6"/>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based on coupon interest rate (10.3%) of outstanding term loans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 and accretion of Final Fee (8.94%)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interest expense on effective rate (19.24%)</w:t>
            </w: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principal payments and Final Fee that were contractually scheduled to become due during each of the years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Principal Payments and</w:t>
            </w:r>
          </w:p>
        </w:tc>
        <w:tc>
          <w:tcPr>
            <w:tcW w:w="0" w:type="dxa"/>
            <w:vAlign w:val="bottom"/>
          </w:tcPr>
          <w:p>
            <w:pPr>
              <w:spacing w:after="0"/>
              <w:rPr>
                <w:sz w:val="1"/>
                <w:szCs w:val="1"/>
                <w:color w:val="auto"/>
              </w:rPr>
            </w:pPr>
          </w:p>
        </w:tc>
      </w:tr>
      <w:tr>
        <w:trPr>
          <w:trHeight w:val="232"/>
        </w:trPr>
        <w:tc>
          <w:tcPr>
            <w:tcW w:w="42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7"/>
              </w:rPr>
              <w:t>Final Fee</w:t>
            </w:r>
          </w:p>
        </w:tc>
        <w:tc>
          <w:tcPr>
            <w:tcW w:w="0" w:type="dxa"/>
            <w:vAlign w:val="bottom"/>
          </w:tcPr>
          <w:p>
            <w:pPr>
              <w:spacing w:after="0"/>
              <w:rPr>
                <w:sz w:val="1"/>
                <w:szCs w:val="1"/>
                <w:color w:val="auto"/>
              </w:rPr>
            </w:pPr>
          </w:p>
        </w:tc>
      </w:tr>
      <w:tr>
        <w:trPr>
          <w:trHeight w:val="218"/>
        </w:trPr>
        <w:tc>
          <w:tcPr>
            <w:tcW w:w="420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center"/>
              <w:ind w:right="172"/>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as of March 31, 2026)</w:t>
            </w:r>
          </w:p>
        </w:tc>
        <w:tc>
          <w:tcPr>
            <w:tcW w:w="534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0" w:type="dxa"/>
            <w:vAlign w:val="bottom"/>
          </w:tcPr>
          <w:p>
            <w:pPr>
              <w:spacing w:after="0"/>
              <w:rPr>
                <w:sz w:val="1"/>
                <w:szCs w:val="1"/>
                <w:color w:val="auto"/>
              </w:rPr>
            </w:pPr>
          </w:p>
        </w:tc>
      </w:tr>
      <w:tr>
        <w:trPr>
          <w:trHeight w:val="219"/>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principal payments and Final Fee</w:t>
            </w:r>
          </w:p>
        </w:tc>
        <w:tc>
          <w:tcPr>
            <w:tcW w:w="506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060" w:type="dxa"/>
            <w:vAlign w:val="bottom"/>
            <w:vMerge w:val="restart"/>
          </w:tcPr>
          <w:p>
            <w:pPr>
              <w:jc w:val="right"/>
              <w:ind w:right="3452"/>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420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00" w:type="dxa"/>
            <w:vAlign w:val="bottom"/>
            <w:tcBorders>
              <w:bottom w:val="single" w:sz="8" w:color="9A9A9A"/>
            </w:tcBorders>
          </w:tcPr>
          <w:p>
            <w:pPr>
              <w:spacing w:after="0"/>
              <w:rPr>
                <w:sz w:val="18"/>
                <w:szCs w:val="18"/>
                <w:color w:val="auto"/>
              </w:rPr>
            </w:pPr>
          </w:p>
        </w:tc>
        <w:tc>
          <w:tcPr>
            <w:tcW w:w="50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We have presented the full amount of the term loan payable, net of discount and issuance costs, as a current liability as of March 31, 2026 and December 31, 2025 given the potential that the loan may be repaid in the subsequent twelve months of each period. On May 6, 2026, we entered into a letter agreement discussed in more detail in Note 12, that resulted in the satisfaction of all obligations under the K2HV Loan Agreement.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and Preferred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authorized to issue 200,000,000 shares of common stock. Common stockholders are entitled to dividends if and when declared by our board of directors. As of March 31, 2026, no dividends on common stock had been declared by us.</w:t>
      </w:r>
    </w:p>
    <w:p>
      <w:pPr>
        <w:spacing w:after="0" w:line="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10, 2022, we entered into a Sales Agreement (the “Sales Agreement”) with Leerink Partners LLC (“Leerink Partners”), pursuant to which we are entitled to offer and sell shares of our common stock (the “ATM Offering”). The Sales Agreement provides that Leerink Partners will be entitled to a sales commission equal to 3.0% of the gross sales price per share of all shares sold under the ATM Offering. We were initially entitled to offer and sell shares of our common stock having an aggregate offering price of up to $50.0 million in the ATM Offering, which was subsequently increased in February 2024 to $75.0 million. On May 8, 2025, we filed a new Registration Statement on Form S-3 and filed a new prospectus covering the ATM Offering (the “Prospectus”) for the offer and sale of shares of our common stock with an aggregate offering price of up to $12.5 million in the ATM Offering as a result of being subject to General Instruction I.B.6 of Form S-3 (the “Baby Shelf Limitation”). As of March 31, 2026, we remain subject to the Baby Shelf Limitation. During the three months ended March 31, 2026 and 2025, we did not sell any shares of our common stock under the ATM Offering.</w:t>
      </w:r>
    </w:p>
    <w:p>
      <w:pPr>
        <w:sectPr>
          <w:pgSz w:w="11900" w:h="16838" w:orient="portrait"/>
          <w:cols w:equalWidth="0" w:num="1">
            <w:col w:w="11240"/>
          </w:cols>
          <w:pgMar w:left="320" w:top="121" w:right="33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reserved shares of common stock for issuance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7134860" cy="168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issuance under the 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reserved for issuance under the 2021 Stock Incentive Plan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Shares reserved for issuance as part of the K2HV Loan Agreement conversion feature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7134860" cy="168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Total shares reserved for future issuance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1740" w:type="dxa"/>
            <w:vAlign w:val="bottom"/>
            <w:gridSpan w:val="2"/>
            <w:vMerge w:val="continue"/>
          </w:tcPr>
          <w:p>
            <w:pPr>
              <w:spacing w:after="0"/>
              <w:rPr>
                <w:sz w:val="20"/>
                <w:szCs w:val="20"/>
                <w:color w:val="auto"/>
              </w:rPr>
            </w:pPr>
          </w:p>
        </w:tc>
        <w:tc>
          <w:tcPr>
            <w:tcW w:w="164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46"/>
        </w:trPr>
        <w:tc>
          <w:tcPr>
            <w:tcW w:w="16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8,440,233</w:t>
            </w:r>
          </w:p>
        </w:tc>
        <w:tc>
          <w:tcPr>
            <w:tcW w:w="100" w:type="dxa"/>
            <w:vAlign w:val="bottom"/>
          </w:tcPr>
          <w:p>
            <w:pPr>
              <w:spacing w:after="0"/>
              <w:rPr>
                <w:sz w:val="21"/>
                <w:szCs w:val="21"/>
                <w:color w:val="auto"/>
              </w:rPr>
            </w:pPr>
          </w:p>
        </w:tc>
        <w:tc>
          <w:tcPr>
            <w:tcW w:w="16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9,954,872</w:t>
            </w:r>
          </w:p>
        </w:tc>
        <w:tc>
          <w:tcPr>
            <w:tcW w:w="0" w:type="dxa"/>
            <w:vAlign w:val="bottom"/>
          </w:tcPr>
          <w:p>
            <w:pPr>
              <w:spacing w:after="0"/>
              <w:rPr>
                <w:sz w:val="1"/>
                <w:szCs w:val="1"/>
                <w:color w:val="auto"/>
              </w:rPr>
            </w:pPr>
          </w:p>
        </w:tc>
      </w:tr>
      <w:tr>
        <w:trPr>
          <w:trHeight w:val="265"/>
        </w:trPr>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1,046,897</w:t>
            </w:r>
          </w:p>
        </w:tc>
        <w:tc>
          <w:tcPr>
            <w:tcW w:w="100" w:type="dxa"/>
            <w:vAlign w:val="bottom"/>
          </w:tcPr>
          <w:p>
            <w:pPr>
              <w:spacing w:after="0"/>
              <w:rPr>
                <w:sz w:val="23"/>
                <w:szCs w:val="23"/>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560,929</w:t>
            </w:r>
          </w:p>
        </w:tc>
        <w:tc>
          <w:tcPr>
            <w:tcW w:w="0" w:type="dxa"/>
            <w:vAlign w:val="bottom"/>
          </w:tcPr>
          <w:p>
            <w:pPr>
              <w:spacing w:after="0"/>
              <w:rPr>
                <w:sz w:val="1"/>
                <w:szCs w:val="1"/>
                <w:color w:val="auto"/>
              </w:rPr>
            </w:pPr>
          </w:p>
        </w:tc>
      </w:tr>
      <w:tr>
        <w:trPr>
          <w:trHeight w:val="265"/>
        </w:trPr>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5,987,542</w:t>
            </w:r>
          </w:p>
        </w:tc>
        <w:tc>
          <w:tcPr>
            <w:tcW w:w="100" w:type="dxa"/>
            <w:vAlign w:val="bottom"/>
          </w:tcPr>
          <w:p>
            <w:pPr>
              <w:spacing w:after="0"/>
              <w:rPr>
                <w:sz w:val="23"/>
                <w:szCs w:val="23"/>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2,039,026</w:t>
            </w:r>
          </w:p>
        </w:tc>
        <w:tc>
          <w:tcPr>
            <w:tcW w:w="0" w:type="dxa"/>
            <w:vAlign w:val="bottom"/>
          </w:tcPr>
          <w:p>
            <w:pPr>
              <w:spacing w:after="0"/>
              <w:rPr>
                <w:sz w:val="1"/>
                <w:szCs w:val="1"/>
                <w:color w:val="auto"/>
              </w:rPr>
            </w:pPr>
          </w:p>
        </w:tc>
      </w:tr>
      <w:tr>
        <w:trPr>
          <w:trHeight w:val="264"/>
        </w:trPr>
        <w:tc>
          <w:tcPr>
            <w:tcW w:w="1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791,364</w:t>
            </w:r>
          </w:p>
        </w:tc>
        <w:tc>
          <w:tcPr>
            <w:tcW w:w="100" w:type="dxa"/>
            <w:vAlign w:val="bottom"/>
          </w:tcPr>
          <w:p>
            <w:pPr>
              <w:spacing w:after="0"/>
              <w:rPr>
                <w:sz w:val="22"/>
                <w:szCs w:val="22"/>
                <w:color w:val="auto"/>
              </w:rPr>
            </w:pPr>
          </w:p>
        </w:tc>
        <w:tc>
          <w:tcPr>
            <w:tcW w:w="1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791,364</w:t>
            </w:r>
          </w:p>
        </w:tc>
        <w:tc>
          <w:tcPr>
            <w:tcW w:w="0" w:type="dxa"/>
            <w:vAlign w:val="bottom"/>
          </w:tcPr>
          <w:p>
            <w:pPr>
              <w:spacing w:after="0"/>
              <w:rPr>
                <w:sz w:val="1"/>
                <w:szCs w:val="1"/>
                <w:color w:val="auto"/>
              </w:rPr>
            </w:pPr>
          </w:p>
        </w:tc>
      </w:tr>
      <w:tr>
        <w:trPr>
          <w:trHeight w:val="218"/>
        </w:trPr>
        <w:tc>
          <w:tcPr>
            <w:tcW w:w="1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16,266,036</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13,346,191</w:t>
            </w:r>
          </w:p>
        </w:tc>
        <w:tc>
          <w:tcPr>
            <w:tcW w:w="0" w:type="dxa"/>
            <w:vAlign w:val="bottom"/>
          </w:tcPr>
          <w:p>
            <w:pPr>
              <w:spacing w:after="0"/>
              <w:rPr>
                <w:sz w:val="1"/>
                <w:szCs w:val="1"/>
                <w:color w:val="auto"/>
              </w:rPr>
            </w:pP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8" w:lineRule="exact"/>
        <w:rPr>
          <w:sz w:val="20"/>
          <w:szCs w:val="20"/>
          <w:color w:val="auto"/>
        </w:rPr>
      </w:pPr>
    </w:p>
    <w:p>
      <w:pPr>
        <w:sectPr>
          <w:pgSz w:w="11900" w:h="16838" w:orient="portrait"/>
          <w:cols w:equalWidth="0" w:num="2">
            <w:col w:w="7140" w:space="720"/>
            <w:col w:w="3380"/>
          </w:cols>
          <w:pgMar w:left="320" w:top="121" w:right="339" w:bottom="1440" w:gutter="0" w:footer="0" w:header="0"/>
          <w:type w:val="continuous"/>
        </w:sect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authorized to issue 5,000,000 shares of undesignated preferred stock in one or more series. As of March 31, 2026, no shares of preferred stock were issued or outstanding.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Incentive Plan</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December 2017, we adopted the 2017 Stock Incentive Plan (the “2017 Plan”), as amended and restated, pursuant to which we have outstanding stock options. No future awards may be granted under the 2017 Plan.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Stock Incentive Plan</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April 2021, our board of directors adopted and our stockholders approved the 2021 Stock Incentive Plan (the “2021 Plan”), which became effective immediately prior to the effectiveness of our initial public offering (the “IPO”). As a result of the adoption of the 2021 Plan, no further awards will be made under the 2017 Plan.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2021 Plan provides for the grant of incentive stock options (“ISOs”), non-qualified stock options, restricted stock awards (“RSAs”), restricted stock units (“RSUs”), stock appreciation rights and other stock-based awards. Our employees, officers, directors, consultants and advisors are eligible to receive awards under the 2021 Plan. The terms of awards, including vesting requirements, are determined by our board of directors, subject to the provisions of the 2021 Plan.</w:t>
      </w:r>
    </w:p>
    <w:p>
      <w:pPr>
        <w:spacing w:after="0" w:line="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initially registered 3,352,725 shares of common stock under the 2021 Plan, pursuant to a Registration Statement on Form S-8 filed with the SEC on April 30, 2021, which was comprised of (i) 2,843,116 shares of common stock reserved for issuance under the 2021 Plan, (ii) 31,884 shares of common stock originally reserved for issuance under the 2017 Plan that became available for issuance under the 2021 Plan upon the completion of the IPO, and (iii) 477,725 shares of unvested restricted stock subject to repurchase by us that may become issuable under the 2021 Plan following such repurchase. The 2021 Plan also provides that an additional number of shares will be added annually to the shares authorized for issuance under the 2021 Plan on the first day of each fiscal year, beginning with the fiscal year ending December 31, 2022 and continuing until, and including, the fiscal year ending December 31, 2031. The number of shares added each year will be equal to the lesser of (i) 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of the number of shares of outstanding common stock on such date and (ii) such amount as determined by our board of directors. As of March 31, 2026, a cumulative total of 9,582,699 additional shares have been added to the total shares authorized for issuance under the 2021 Plan in accordance with these terms.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2021 Employee Stock Purchase Plan (“2021 ESPP”) permits eligible employees to purchase shares of our common stock at a discount and consists of consecutive six-month offering periods, each containing a single six-month purchase period. On the first day of each offering period, each employee who is enrolled in the 2021 ESPP will automatically receive an option to purchase up to a whole number of shares of our common stock. The purchase price of each of the shares purchased, in a given purchase period, will be equal to 85% of the lesser of the closing price of a share of our common stock on (i) the first day of the offering period, or (ii) the last day of the offering period. During the three months ended March 31, 2026 and 2025, no shares of our common stock were purchased by participants of the 2021 ESPP.</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recognized in our condensed consolidated statements of operations was as follows:</w:t>
      </w:r>
    </w:p>
    <w:p>
      <w:pPr>
        <w:spacing w:after="0" w:line="136"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8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9"/>
        </w:trPr>
        <w:tc>
          <w:tcPr>
            <w:tcW w:w="7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9"/>
                <w:szCs w:val="19"/>
                <w:color w:val="auto"/>
              </w:rPr>
            </w:pPr>
          </w:p>
        </w:tc>
      </w:tr>
      <w:tr>
        <w:trPr>
          <w:trHeight w:val="26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65"/>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44"/>
        </w:trPr>
        <w:tc>
          <w:tcPr>
            <w:tcW w:w="7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part of the severance benefits offered to former employees impacted by the 2026 Restructuring described in Note 2 (the “Former Employees”), the forfeiture conditions of outstanding stock options belonging to the Former Employees were modified such that the Former Employees will retain their rights to exercise their stock options through the original expiration dates of each respective stock option to the extent that such stock options had become vested at the time that the Former Employees’ employment with us was terminated. Absent this modification, the impacted stock options would have been forfeited by the Former Employees after a period of 90 days following the termination of their employment with us, if not exercised sooner. The expiration date for all stock options impacted by this modification will occur on the tenth anniversary of the grant date of each respective stock option. For the three months ended March 31, 2026, the stock-based compensation expense above includes $0.6 million of expense recognized as a one-time charge related to this modification.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No stock options were granted during the three months ended March 31, 2026. The fair value of stock options granted during the three months ended March 31, 2025 was calculated on the date of grant using the following weighted-average assumptions: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6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6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6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95.3 %</w:t>
            </w:r>
          </w:p>
        </w:tc>
      </w:tr>
    </w:tbl>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Using the Black-Scholes option pricing model, the weighted-average grant date fair value of stock options granted during the three months ended March 31, 2025 was $1.22 per share.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0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Weighted-Average</w:t>
            </w:r>
          </w:p>
        </w:tc>
        <w:tc>
          <w:tcPr>
            <w:tcW w:w="174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8"/>
                <w:szCs w:val="18"/>
                <w:b w:val="1"/>
                <w:bCs w:val="1"/>
                <w:color w:val="auto"/>
                <w:w w:val="95"/>
              </w:rPr>
              <w:t>Weighted-Average</w:t>
            </w: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740" w:type="dxa"/>
            <w:vAlign w:val="bottom"/>
            <w:gridSpan w:val="2"/>
          </w:tcPr>
          <w:p>
            <w:pPr>
              <w:jc w:val="center"/>
              <w:ind w:right="80"/>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00"/>
              <w:spacing w:after="0" w:line="186" w:lineRule="exact"/>
              <w:rPr>
                <w:sz w:val="20"/>
                <w:szCs w:val="20"/>
                <w:color w:val="auto"/>
              </w:rPr>
            </w:pPr>
            <w:r>
              <w:rPr>
                <w:rFonts w:ascii="Times New Roman" w:cs="Times New Roman" w:eastAsia="Times New Roman" w:hAnsi="Times New Roman"/>
                <w:sz w:val="18"/>
                <w:szCs w:val="18"/>
                <w:b w:val="1"/>
                <w:bCs w:val="1"/>
                <w:color w:val="auto"/>
                <w:w w:val="98"/>
              </w:rPr>
              <w:t>Exercise Price per</w:t>
            </w:r>
          </w:p>
        </w:tc>
        <w:tc>
          <w:tcPr>
            <w:tcW w:w="174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18"/>
                <w:szCs w:val="18"/>
                <w:b w:val="1"/>
                <w:bCs w:val="1"/>
                <w:color w:val="auto"/>
                <w:w w:val="98"/>
              </w:rPr>
              <w:t>Contractual Life</w:t>
            </w: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4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5"/>
              </w:rPr>
              <w:t>Value (in millions)</w:t>
            </w:r>
          </w:p>
        </w:tc>
        <w:tc>
          <w:tcPr>
            <w:tcW w:w="0" w:type="dxa"/>
            <w:vAlign w:val="bottom"/>
          </w:tcPr>
          <w:p>
            <w:pPr>
              <w:spacing w:after="0"/>
              <w:rPr>
                <w:sz w:val="1"/>
                <w:szCs w:val="1"/>
                <w:color w:val="auto"/>
              </w:rPr>
            </w:pPr>
          </w:p>
        </w:tc>
      </w:tr>
      <w:tr>
        <w:trPr>
          <w:trHeight w:val="24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9,954,872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Cancelled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(1,514,639)</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tcPr>
          <w:p>
            <w:pPr>
              <w:spacing w:after="0"/>
              <w:rPr>
                <w:sz w:val="23"/>
                <w:szCs w:val="23"/>
                <w:color w:val="auto"/>
              </w:rPr>
            </w:pPr>
          </w:p>
        </w:tc>
        <w:tc>
          <w:tcPr>
            <w:tcW w:w="16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5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8,440,233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400" w:type="dxa"/>
            <w:vAlign w:val="bottom"/>
            <w:vMerge w:val="continue"/>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6,600,515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 options were exercised during the three months ended March 31, 2026 and 2025.</w:t>
      </w:r>
    </w:p>
    <w:p>
      <w:pPr>
        <w:spacing w:after="0" w:line="1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March 31, 2026, we had unrecognized stock-based compensation expense related to unvested stock options of $2.6 million, which we expect to recognize over a weighted-average period of approximately 1.9 years.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Loss Attributable to Common Stockholders per Share</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the diluted net loss attributable to common stockholders per share calculation, outstanding stock options, the conversion option derivative under the K2HV Loan Agreement, and warrants to purchase common stock are considered to be potentially dilutive securities; however, the following amounts were excluded from the weighted-average common stock outstanding in the calculation of diluted net loss attributable to common stockholders per share because their effect would be anti-dilutive: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60" w:type="dxa"/>
            <w:vAlign w:val="bottom"/>
          </w:tcPr>
          <w:p>
            <w:pPr>
              <w:spacing w:after="0"/>
              <w:rPr>
                <w:sz w:val="20"/>
                <w:szCs w:val="20"/>
                <w:color w:val="auto"/>
              </w:rPr>
            </w:pPr>
          </w:p>
        </w:tc>
        <w:tc>
          <w:tcPr>
            <w:tcW w:w="224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r>
      <w:tr>
        <w:trPr>
          <w:trHeight w:val="218"/>
        </w:trPr>
        <w:tc>
          <w:tcPr>
            <w:tcW w:w="786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8,440,233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10,282,640</w:t>
            </w: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22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46,487</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to be issued under the 2021 ESPP</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91,857</w:t>
            </w:r>
          </w:p>
        </w:tc>
      </w:tr>
      <w:tr>
        <w:trPr>
          <w:trHeight w:val="218"/>
        </w:trPr>
        <w:tc>
          <w:tcPr>
            <w:tcW w:w="7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8,456,461</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10,420,984</w:t>
            </w:r>
          </w:p>
        </w:tc>
      </w:tr>
      <w:tr>
        <w:trPr>
          <w:trHeight w:val="20"/>
        </w:trPr>
        <w:tc>
          <w:tcPr>
            <w:tcW w:w="78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below, the conversion option derivative under the K2HV Loan Agreement was determined to be dilutive for the three months ended March 31, 2026. For the three months ended March 31, 2025, the effect of the conversion option derivative would have been anti-dilutive. Accordingly, for the three months ended March 31, 2025, we have excluded 791,364 shares of common stock equivalents that are available to be issued in conjunction with the conversion option derivative from the calculation of diluted net loss attributable to common stockholders per share.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Basic net loss per share is computed by dividing net loss by the weighted-average number of shares of common stock outstanding during the applicable period. In computing diluted net loss per share, only potential shares of common stock that are dilutive are included. We considered each issue or series of issues of potential shares of common stock separately when determining whether potential shares of common stock are dilutive or anti-dilutive. We made such determination in sequence from the most dilutive to the least dilutive and concluded that the conversion option derivative under the K2HV Loan Agreement is dilutive to net loss per share for the three months ended March 31, 2026. Pursuant to ASC Topic 260,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we applied the if-converted method to determine the effect of the conversion option derivative under the K2HV Loan Agreement on the diluted earnings per share calculations. Pursuant to such method, we adjusted the numerator for the gain recognized during the period in net loss due to the change in fair value of the conversion option derivative liability under the K2HV Loan Agreement and the interest expense recognized during the period that is attributable to the portion of the term loan that is subject to the conversion option. We also increased the denominator to include the weighted-average number of additional shares of common stock that would have been outstanding if the conversion option derivative under the K2HV Loan Agreement were converted at the beginning of the period.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1"/>
        </w:trPr>
        <w:tc>
          <w:tcPr>
            <w:tcW w:w="1260" w:type="dxa"/>
            <w:vAlign w:val="bottom"/>
            <w:tcBorders>
              <w:top w:val="single" w:sz="8" w:color="0000FF"/>
            </w:tcBorders>
          </w:tcPr>
          <w:p>
            <w:pPr>
              <w:spacing w:after="0"/>
              <w:rPr>
                <w:sz w:val="24"/>
                <w:szCs w:val="24"/>
                <w:color w:val="auto"/>
              </w:rPr>
            </w:pPr>
          </w:p>
        </w:tc>
        <w:tc>
          <w:tcPr>
            <w:tcW w:w="7460" w:type="dxa"/>
            <w:vAlign w:val="bottom"/>
          </w:tcPr>
          <w:p>
            <w:pPr>
              <w:spacing w:after="0"/>
              <w:rPr>
                <w:sz w:val="24"/>
                <w:szCs w:val="24"/>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4"/>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0" w:type="dxa"/>
            <w:vAlign w:val="bottom"/>
          </w:tcPr>
          <w:p>
            <w:pPr>
              <w:spacing w:after="0"/>
              <w:rPr>
                <w:sz w:val="1"/>
                <w:szCs w:val="1"/>
                <w:color w:val="auto"/>
              </w:rPr>
            </w:pPr>
          </w:p>
        </w:tc>
      </w:tr>
      <w:tr>
        <w:trPr>
          <w:trHeight w:val="22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change in fair value of derivative liability</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Plus: interest expense on converted term loan</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loss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(18,089)</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stock outstanding, basic</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48,596,817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44,827,159</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common stock issuable from assumed conversion of convertible term loan</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stock outstanding, diluted</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49,388,181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44,827,159</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31"/>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20"/>
                <w:szCs w:val="20"/>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one reportable segment which focuses on the discovery and development of cancer therapeutics. Our chief operating decision maker (“CODM”) manages our operations on an integrated basis for the purpose of allocating resources. When evaluating our financial performance, our CODM regularly reviews total expenses and expenses by function and makes decisions using this information based on the performance of the enterprise as a whole. Our CODM primarily evaluates the performance of the enterprise based on results that have a direct impact on our available cash and cash equivalents and accordingly places less significance on non-cash expenses such as stock-based compensation and depreciation expenses in determining how to allocate resources.</w:t>
      </w:r>
    </w:p>
    <w:p>
      <w:pPr>
        <w:spacing w:after="0" w:line="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Segment assets regularly reviewed by our CODM include measures of liquidity, primarily available cash and cash equivalents, and are consistent with the presentation of cash and cash equivalents reported in our condensed consolidated balance sheets.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segment and consolidated net loss, including significant segment expenses:</w:t>
      </w:r>
    </w:p>
    <w:p>
      <w:pPr>
        <w:spacing w:after="0" w:line="13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8"/>
        </w:trPr>
        <w:tc>
          <w:tcPr>
            <w:tcW w:w="8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9"/>
                <w:szCs w:val="19"/>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support</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development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discovery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r>
      <w:tr>
        <w:trPr>
          <w:trHeight w:val="225"/>
        </w:trPr>
        <w:tc>
          <w:tcPr>
            <w:tcW w:w="82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2"/>
                <w:szCs w:val="22"/>
                <w:color w:val="auto"/>
                <w:vertAlign w:val="superscript"/>
              </w:rPr>
              <w:t>(a)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r>
      <w:tr>
        <w:trPr>
          <w:trHeight w:val="265"/>
        </w:trPr>
        <w:tc>
          <w:tcPr>
            <w:tcW w:w="8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5"/>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25"/>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(18,089)</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Other segment expenses includes non-cash expenses for stock-based compensation and depreciation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Restructuring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February 2026, we initiated a strategic review process and the 2026 Restructuring. The 2026 Restructuring is expected to be completed by the end of 2026.</w:t>
      </w:r>
    </w:p>
    <w:p>
      <w:pPr>
        <w:spacing w:after="0" w:line="1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estimate that we will incur approximately $6.4 million in costs associated with the 2026 Restructuring, consisting of severance payments, retention bonuses, employee benefits and related taxes, stock-based compensation, and contract termination costs. Our estimate of costs we expect to incur and the expected timing of when the 2026 Restructuring will be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completed are subject to a number of assumptions, and actual results may differ. We may also incur additional costs, including, but not limited to, potential impairment charges and debt extinguishment costs related to the subsequent events described in Note 12, and other events not currently contemplated that may occur as a result of, or that are associated with the 2026 Restructuring.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restructuring costs incurred and the total estimated costs expected to be incurred in connection with the 2026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Employee severance, benefits and related taxes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Employee retention bonuses, benefits and related taxes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18"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7"/>
          <w:szCs w:val="17"/>
          <w:color w:val="auto"/>
        </w:rPr>
        <w:t>Contract termination costs</w:t>
      </w:r>
    </w:p>
    <w:p>
      <w:pPr>
        <w:spacing w:after="0" w:line="63" w:lineRule="exact"/>
        <w:rPr>
          <w:sz w:val="20"/>
          <w:szCs w:val="20"/>
          <w:color w:val="auto"/>
        </w:rPr>
      </w:pPr>
    </w:p>
    <w:p>
      <w:pPr>
        <w:jc w:val="center"/>
        <w:ind w:right="3480"/>
        <w:spacing w:after="0"/>
        <w:rPr>
          <w:sz w:val="20"/>
          <w:szCs w:val="20"/>
          <w:color w:val="auto"/>
        </w:rPr>
      </w:pPr>
      <w:r>
        <w:rPr>
          <w:rFonts w:ascii="Times New Roman" w:cs="Times New Roman" w:eastAsia="Times New Roman" w:hAnsi="Times New Roman"/>
          <w:sz w:val="18"/>
          <w:szCs w:val="18"/>
          <w:color w:val="auto"/>
        </w:rPr>
        <w:t>Total restructuring costs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Cumulative Costs to</w:t>
            </w:r>
          </w:p>
        </w:tc>
        <w:tc>
          <w:tcPr>
            <w:tcW w:w="160" w:type="dxa"/>
            <w:vAlign w:val="bottom"/>
          </w:tcPr>
          <w:p>
            <w:pPr>
              <w:spacing w:after="0"/>
              <w:rPr>
                <w:sz w:val="17"/>
                <w:szCs w:val="17"/>
                <w:color w:val="auto"/>
              </w:rPr>
            </w:pPr>
          </w:p>
        </w:tc>
        <w:tc>
          <w:tcPr>
            <w:tcW w:w="14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Total Estimated</w:t>
            </w:r>
          </w:p>
        </w:tc>
      </w:tr>
      <w:tr>
        <w:trPr>
          <w:trHeight w:val="236"/>
        </w:trPr>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Costs</w:t>
            </w:r>
          </w:p>
        </w:tc>
      </w:tr>
      <w:tr>
        <w:trPr>
          <w:trHeight w:val="216"/>
        </w:trPr>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5"/>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25"/>
        </w:trPr>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r>
      <w:tr>
        <w:trPr>
          <w:trHeight w:val="225"/>
        </w:trPr>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8"/>
        </w:trPr>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-756920</wp:posOffset>
            </wp:positionV>
            <wp:extent cx="7134860" cy="14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-470535</wp:posOffset>
            </wp:positionV>
            <wp:extent cx="7134860"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-184785</wp:posOffset>
            </wp:positionV>
            <wp:extent cx="7134860" cy="168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5380" w:space="720"/>
            <w:col w:w="51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w w:val="99"/>
              </w:rPr>
              <w:t>Total restructuring costs recognized in our condensed consolidated statements of operations were as follows: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57"/>
        </w:trPr>
        <w:tc>
          <w:tcPr>
            <w:tcW w:w="7840" w:type="dxa"/>
            <w:vAlign w:val="bottom"/>
          </w:tcPr>
          <w:p>
            <w:pPr>
              <w:spacing w:after="0"/>
              <w:rPr>
                <w:sz w:val="24"/>
                <w:szCs w:val="24"/>
                <w:color w:val="auto"/>
              </w:rPr>
            </w:pPr>
          </w:p>
        </w:tc>
        <w:tc>
          <w:tcPr>
            <w:tcW w:w="304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60" w:type="dxa"/>
            <w:vAlign w:val="bottom"/>
            <w:tcBorders>
              <w:bottom w:val="single" w:sz="8" w:color="auto"/>
            </w:tcBorders>
          </w:tcPr>
          <w:p>
            <w:pPr>
              <w:spacing w:after="0"/>
              <w:rPr>
                <w:sz w:val="24"/>
                <w:szCs w:val="24"/>
                <w:color w:val="auto"/>
              </w:rPr>
            </w:pPr>
          </w:p>
        </w:tc>
      </w:tr>
      <w:tr>
        <w:trPr>
          <w:trHeight w:val="218"/>
        </w:trPr>
        <w:tc>
          <w:tcPr>
            <w:tcW w:w="78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r>
      <w:tr>
        <w:trPr>
          <w:trHeight w:val="218"/>
        </w:trPr>
        <w:tc>
          <w:tcPr>
            <w:tcW w:w="78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9"/>
                <w:szCs w:val="19"/>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3,058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08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Accrued restructuring costs, which are included in accrued expenses and other current liabilities on our condensed consolidated balance sheets,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4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60" w:type="dxa"/>
            <w:vAlign w:val="bottom"/>
            <w:tcBorders>
              <w:bottom w:val="single" w:sz="8" w:color="auto"/>
            </w:tcBorders>
          </w:tcPr>
          <w:p>
            <w:pPr>
              <w:spacing w:after="0"/>
              <w:rPr>
                <w:sz w:val="20"/>
                <w:szCs w:val="20"/>
                <w:color w:val="auto"/>
              </w:rPr>
            </w:pPr>
          </w:p>
        </w:tc>
      </w:tr>
      <w:tr>
        <w:trPr>
          <w:trHeight w:val="218"/>
        </w:trPr>
        <w:tc>
          <w:tcPr>
            <w:tcW w:w="78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r>
      <w:tr>
        <w:trPr>
          <w:trHeight w:val="219"/>
        </w:trPr>
        <w:tc>
          <w:tcPr>
            <w:tcW w:w="7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980" w:type="dxa"/>
            <w:vAlign w:val="bottom"/>
            <w:gridSpan w:val="3"/>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19"/>
                <w:szCs w:val="19"/>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costs recognized during the period</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payments made during the period</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retention bonuses paid in advance</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charges recognized during the period</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6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Purchase Agreement; Termination of Collaboration Agreement</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6, 2026 (the “Closing”), we entered into an asset purchase agreement (the “Purchase Agreement”) with Jazz Pharmaceuticals Ireland Limited, a corporation organized under the laws of Ireland (“Jazz”). In April 2022, we entered into a global collaboration and license agreement (the “Collaboration Agreement”) with Jazz under which Jazz acquired exclusive global development and commercialization rights to JZP898, as well as products containing certain isolated recombinant polypeptides comprising IFNα that meet specified criteria (each such product, a Licensed Product). Subject to the terms and conditions of the Purchase Agreement, we sold to Jazz (the “Asset Sale”) its program (the “898 Program”) for the development, manufacturing, commercialization, use and other exploitation of the Licensed Product. Pursuant to the Purchase Agreement and related ancillary agreements, in consideration for the Transferred Assets, Jazz paid to us upfront consideration of $21.0 million, and has agreed to pay an additional $2.0 million upon the consent to the partial assignment a certain license agreement, as and to the extent such agreement relates to the conduct of the 898 Program. Jazz also assumed certain liabilities of ours relating to the 898 Program arising after the Closing.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of each of us and Jazz. The Purchase Agreement further provides that, subject to certain limitations, we and Jazz will each indemnify the other for certain losses arising from such breaches of representations, warranties and covenants and liabilities allocated to such party pursuant to the terms of the Purchase Agreement.</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the Purchase Agreement contains a non-competition covenant pursuant to which we agreed not to exploit any IFNα or variant thereof, or any product containing any IFNα or variant thereof, for a period of eighteen (18) months after the Closing, subject to customary exceptions for change of control transactions.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the Closing, the Collaboration Agreement was terminated.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Repayment</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May 6, 2026, we entered into a letter agreement providing for the repayment by us of all amounts owed under the K2HV Loan Agreement. On May 6, 2026, upon payment by us of approximately $31.4 million, all of our indebtedness and obligations to the Collateral Trustee and the Lenders under the K2HV Loan Agreement and any other related loan and collateral security documents was deemed paid and discharged in full.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Termination</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7, 2026, we entered into an Agreement for Termination of Lease and Voluntary Surrender of Premises (the “Lease Termination”) with ARE-770/784/790 Memorial Drive, LLC (the “Landlord”), pursuant to which we and the Landlord agreed to terminate that certain lease, dated June 1, 2021, as amended, by and between us and the Landlord (the “Lease”), effective October 31, 2026 or such sooner date as a party provides notices in accordance with the Lease Termination (the “Lease Termination Date”). Under the Lease, we leased approximately 25,778 square feet of space, consisting of the entire building located at 200 Talcott Avenue, Watertown, Massachusetts. Pursuant to the Lease Termination, we will pay the Landlord an aggregate termination fee of $2.7 million, which shall represent full satisfaction of all remaining payments and other financial obligations due from us to the Landlord under the Lease including, without limitation, Base Rent (as defined in the Lease) for the months of May 2026 through October 2026. We will have no further rent obligations to the Landlord pursuant to the Lease after the Lease Termination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meant to provide material information relevant to an assessment of the financial condition and results of operations of our company, including an evaluation of the amounts and uncertainties of cash flows from operations and from outside resources, so as to allow investors to better view our company from management’s perspective. The following discussion and analysis of our financial condition and results of operations should be read together with our condensed consolidated financial statements and related notes appearing elsewhere in this Quarterly Report on Form 10-Q, or Quarterly Report, and our Annual Report on Form 10-K for the year ended December 31, 2025, or the 2025 Annual Report, that was filed with the United States Securities and Exchange Commission, or SEC, on March 27, 2026. In addition to historical information, the discussion and analysis contains forward-looking statements that involve risks, uncertainties and assumptions. Our actual results may differ materially from those anticipated in these forward-looking statements as a result of certain factors. We discuss factors we believe could cause or contribute to these differences below and elsewhere in this Quarterly Report, including those factors set forth in the section entitled “Cautionary Note Regarding Forward-Looking Statements and Industry Data” and in the section entitled “Risk Factors” in Part II, Item 1A of this Quarterly Report. You should carefully read the section entitled “Risk Factors” in Part II, Item 1A of this Quarterly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an innovative biopharmaceutical company pioneering the development of therapeutics engineered to stimulate the body’s immune system for the treatment of cancer and other immune-mediated conditions. We have leveraged our proprietary PREDATOR platform to design conditionally activated molecules that stimulate both adaptive and innate immunity with the goal of addressing the limitations of conventional proinflammatory immune therapies. Our molecules, which we refer to as INDUKINE and INDUCER molecules, are intended to activate selectively in the tumor microenvironment, or TME. Our most advanced product candidates, WTX-124 and WTX-330, are systemically delivered, conditionally activated Interleukin-2 and Interleukin-12, respectively, INDUKINE molecules for the treatment of multiple tumor types.</w:t>
      </w:r>
    </w:p>
    <w:p>
      <w:pPr>
        <w:spacing w:after="0" w:line="7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The Phase 1/1b clinical trial of WTX-124 is expected to be completed in the third quarter of 2026. Additional funding will be required to initiate any further development, which could include a registration-enabling trial. We are currently seeking a strategic partnership for the further development of WTX-124.</w:t>
      </w:r>
    </w:p>
    <w:p>
      <w:pPr>
        <w:spacing w:after="0" w:line="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dose- and regimen-determining Part A of the Phase 1b/2 clinical trial of WTX-330 is expected to be completed in the third quarter of 2026. Additional funding will be required to further develop WTX-330, which could include sequential administration of WTX-330 and WTX-124 that may provide a novel development path in poorly immunogenic tumors. We are currently seeking a strategic partnership for the further development of WTX-330.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 Termination of Collaboration Agreement</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6, 2026, or the Closing, we entered into an asset purchase agreement, or the Purchase Agreement, with Jazz Pharmaceuticals Ireland Limited, a corporation organized under the laws of Ireland, or Jazz. In April 2022, we entered into a global collaboration and license agreement, or the Collaboration Agreement, with Jazz under which Jazz acquired exclusive global development and commercialization rights to JZP898, as well as products containing certain isolated recombinant polypeptides comprising IFNα that meet specified criteria (each such product, a Licensed Product). Subject to the terms and conditions of the Purchase Agreement, we sold to Jazz, which we refer to as the Asset Sale, our program, or the 898 Program, for the development, manufacturing, commercialization, use and other exploitation of the Licensed Product. Pursuant to the Purchase Agreement and related ancillary agreements, in consideration for the Transferred Assets, Jazz paid to us upfront consideration of $21.0 million, and has agreed to pay an additional $2.0 million upon the consent to the partial assignment a certain license agreement, as and to the extent such agreement relates to the conduct of the 898 Program. Jazz also assumed certain liabilities of ours relating to the 898 Program arising after the Closing.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the Closing, the Collaboration Agreement was terminated.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Repayment</w:t>
      </w:r>
    </w:p>
    <w:p>
      <w:pPr>
        <w:spacing w:after="0" w:line="1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6, 2026, we entered into a letter agreement providing for the repayment by us of all amounts owed under the loan and security agreement, dated May 2, 2024, or the K2HV Loan Agreement, by and among us, the lenders from time to time party hereto, or the Lenders, K2 HealthVentures LLC, or K2HV, as administrative agent for the Lenders, and ANKURA TRUST COMPANY, LLC, as collateral trustee for secured parties, or the Collateral Trustee. On May 6, 2026, upon payment by us of approximately $31.4 million, all of our indebtedness and obligations to the Collateral Trustee and the Lenders under the Loan Agreement and any other related loan and collateral security documents was deemed paid and discharged in full.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Review</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February 2026, we adopted a restructuring plan to extend our capital resources, or the 2026 Restructuring, in connection with initiating a process to explore a full range of strategic alternatives to advance our promising platform and drug development pipeline to maximize stockholder value. We have engaged Piper Sandler &amp; Co., or Piper Sandler, to serve as exclusive financial advisor to assist in the strategic review process. Measures contemplated during the strategic review process include the Asset Sale and may also include, among other options, a sale of our company, a business combination or merger, a sale of our assets, licensing or collaboration arrangements, or other strategic transactions. There can be no assurance that the strategic review process will result in any agreement or transaction that will enhance stockholder value, or any agreement or transaction at all.</w:t>
      </w:r>
    </w:p>
    <w:p>
      <w:pPr>
        <w:spacing w:after="0" w:line="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part of the 2026 Restructuring, our board of directors approved a reduction in force, representing 64% of our workforce, to better align our resources with our pursuit of strategic alternatives. As a result of the 2026 Restructuring, we recognized costs of $4.3 million during the three months ended March 31, 2026 consisting of severance payments, retention bonuses, employee benefits and related taxes, stock-based compensation, and contract termination costs. We estimate that we will incur approximately $2.1 million in additional costs to complete the 2026 Restructuring, which is expected to be completed by the end of 2026. Our estimate of costs we expect to incur and the expected timing of when the 2026 Restructuring will be completed are subject to a number of assumptions, and actual results may differ. We may also incur additional costs, including, but not limited to, potential impairment charges and debt extinguishment costs related to the loan repayment described above, the termination of our lease agreement described below under the heading “</w:t>
      </w:r>
      <w:r>
        <w:rPr>
          <w:rFonts w:ascii="Times New Roman" w:cs="Times New Roman" w:eastAsia="Times New Roman" w:hAnsi="Times New Roman"/>
          <w:sz w:val="18"/>
          <w:szCs w:val="18"/>
          <w:i w:val="1"/>
          <w:iCs w:val="1"/>
          <w:color w:val="auto"/>
        </w:rPr>
        <w:t>Management’s Discussion and Analysis of Financial Condition and Results of Operations – Liquidity and Capital Resources – Contractual Obligations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 Agreement</w:t>
      </w:r>
      <w:r>
        <w:rPr>
          <w:rFonts w:ascii="Times New Roman" w:cs="Times New Roman" w:eastAsia="Times New Roman" w:hAnsi="Times New Roman"/>
          <w:sz w:val="18"/>
          <w:szCs w:val="18"/>
          <w:color w:val="auto"/>
        </w:rPr>
        <w:t>”, and other events not currently contemplated that may occur as a result of, or that are associated with the 2026 Restructuring.</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and include:</w:t>
      </w:r>
    </w:p>
    <w:p>
      <w:pPr>
        <w:spacing w:after="0" w:line="57" w:lineRule="exact"/>
        <w:rPr>
          <w:sz w:val="20"/>
          <w:szCs w:val="20"/>
          <w:color w:val="auto"/>
        </w:rPr>
      </w:pPr>
    </w:p>
    <w:p>
      <w:pPr>
        <w:ind w:left="960" w:hanging="398"/>
        <w:spacing w:after="0" w:line="274"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engaged in research and development functions;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preclinical and clinical activities on our behalf;</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stock-based compensation and related travel expenses;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developing and manufacturing preclinical study and clinical trial materials; and</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allocated expenses for rent and maintenance of facilities and other operating costs.</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performance of the individual arrangements, which may differ from the pattern of billings incurred, and are reflected in our condensed consolidated financial statements as prepaid or accrued research and development expenses.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our development programs. We track external development costs by product candidate or development program, but generally we do not allocate personnel costs, license payments made under our licensing arrangements or other internal costs to specific development programs or product candidates.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external development costs were as follows:</w:t>
      </w:r>
    </w:p>
    <w:p>
      <w:pPr>
        <w:spacing w:after="0" w:line="162"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6"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8"/>
        </w:trPr>
        <w:tc>
          <w:tcPr>
            <w:tcW w:w="78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9"/>
                <w:szCs w:val="19"/>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WTX-330</w:t>
            </w: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WTX-124</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WTX-1011</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WTX-2022</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WTX-712</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WTX-921</w:t>
            </w:r>
          </w:p>
        </w:tc>
        <w:tc>
          <w:tcPr>
            <w:tcW w:w="10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WTX-518</w:t>
            </w:r>
          </w:p>
        </w:tc>
        <w:tc>
          <w:tcPr>
            <w:tcW w:w="10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Pre-development candidates</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external development costs</w:t>
            </w: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Research and development activities have historically been central to our business model. We expect our research and development costs will decrease in the near future as we explore strategic alternatives available to advance our platform and drug development pipeline.</w:t>
      </w:r>
    </w:p>
    <w:p>
      <w:pPr>
        <w:spacing w:after="0" w:line="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process of conducting the necessary clinical research to obtain regulatory approval is costly and time-consuming. We cannot reasonably estimate or know the nature, timing and estimated costs of the efforts that will be necessary to complete development of our current or future product candidates, if any. The actual probability of success for our product candidates will depend on a variety of factors, including:</w:t>
      </w:r>
    </w:p>
    <w:p>
      <w:pPr>
        <w:spacing w:after="0" w:line="72" w:lineRule="exact"/>
        <w:rPr>
          <w:sz w:val="20"/>
          <w:szCs w:val="20"/>
          <w:color w:val="auto"/>
        </w:rPr>
      </w:pPr>
    </w:p>
    <w:p>
      <w:pPr>
        <w:ind w:left="960" w:hanging="39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our strategic review process;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research activities as well as any preclinical studies and clinical trials, including our ongoing Phase 1/1b clinical trial for WTX-124 and the Phase 1b/2 clinical trial for WTX-330, as well as other research and development activities;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products following any regulatory approval.</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current and future product candidates would significantly change the costs and timing associated with the development of those product candidates, and we may never succeed in achieving regulatory approval for any of our product candidates. As a result of the uncertainties discussed above, we are unable to determine the duration and completion costs of our research and development activities.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other related costs, including stock-based compensation, for personnel in our executive, finance, people operations, business development, legal, information technology and administrative functions. General and administrative expenses also include legal fees relating to intellectual property and corporate matters; professional fees for accounting, audit, tax and consulting services; insurance costs; travel expenses; and facility-related expenses, which include direct depreciation costs and allocated expenses for rent and maintenance of facilities and other operating costs.</w:t>
      </w:r>
    </w:p>
    <w:p>
      <w:pPr>
        <w:spacing w:after="0" w:line="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At this time, we cannot reasonably estimate the nature, timing, and estimated costs associated with the efforts that will be necessary to complete our strategic review process.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from cash and cash equivalents invested in money market funds.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Interest expense represents interest incurred from our loan and security agreement, or the K2HV Loan Agreement, with K2 HealthVentures LLC, or K2HV, and non-cash interest expense related to the amortization of debt issuance costs.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Other income, net primarily consists of the unrealized gain or loss recognized on the change in fair value of the derivative liability associated with the K2HV Loan Agreement.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120" w:type="dxa"/>
            <w:vAlign w:val="bottom"/>
          </w:tcPr>
          <w:p>
            <w:pPr>
              <w:spacing w:after="0"/>
              <w:rPr>
                <w:sz w:val="24"/>
                <w:szCs w:val="24"/>
                <w:color w:val="auto"/>
              </w:rPr>
            </w:pPr>
          </w:p>
        </w:tc>
        <w:tc>
          <w:tcPr>
            <w:tcW w:w="274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80" w:type="dxa"/>
            <w:vAlign w:val="bottom"/>
          </w:tcPr>
          <w:p>
            <w:pPr>
              <w:spacing w:after="0"/>
              <w:rPr>
                <w:sz w:val="23"/>
                <w:szCs w:val="23"/>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Pr>
          <w:p>
            <w:pPr>
              <w:spacing w:after="0"/>
              <w:rPr>
                <w:sz w:val="23"/>
                <w:szCs w:val="23"/>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0" w:type="dxa"/>
            <w:vAlign w:val="bottom"/>
          </w:tcPr>
          <w:p>
            <w:pPr>
              <w:spacing w:after="0"/>
              <w:rPr>
                <w:sz w:val="1"/>
                <w:szCs w:val="1"/>
                <w:color w:val="auto"/>
              </w:rPr>
            </w:pPr>
          </w:p>
        </w:tc>
      </w:tr>
      <w:tr>
        <w:trPr>
          <w:trHeight w:val="265"/>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8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45"/>
        </w:trPr>
        <w:tc>
          <w:tcPr>
            <w:tcW w:w="6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(13,271)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(17,991)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5"/>
        </w:trPr>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8"/>
        </w:trPr>
        <w:tc>
          <w:tcPr>
            <w:tcW w:w="6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other expense</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44"/>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(13,532)</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(18,089)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1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120" w:type="dxa"/>
            <w:vAlign w:val="bottom"/>
          </w:tcPr>
          <w:p>
            <w:pPr>
              <w:spacing w:after="0"/>
              <w:rPr>
                <w:sz w:val="24"/>
                <w:szCs w:val="24"/>
                <w:color w:val="auto"/>
              </w:rPr>
            </w:pPr>
          </w:p>
        </w:tc>
        <w:tc>
          <w:tcPr>
            <w:tcW w:w="2740" w:type="dxa"/>
            <w:vAlign w:val="bottom"/>
            <w:gridSpan w:val="4"/>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w w:val="96"/>
              </w:rPr>
              <w:t>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8"/>
        </w:trPr>
        <w:tc>
          <w:tcPr>
            <w:tcW w:w="6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 costs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research organization</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consumables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8"/>
        </w:trPr>
        <w:tc>
          <w:tcPr>
            <w:tcW w:w="6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2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were $8.2 million compared to $13.1 million for the three months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The decrease of $4.9 million was primarily due to:</w:t>
      </w:r>
    </w:p>
    <w:p>
      <w:pPr>
        <w:spacing w:after="0" w:line="92" w:lineRule="exact"/>
        <w:rPr>
          <w:sz w:val="20"/>
          <w:szCs w:val="20"/>
          <w:color w:val="auto"/>
        </w:rPr>
      </w:pPr>
    </w:p>
    <w:p>
      <w:pPr>
        <w:jc w:val="both"/>
        <w:ind w:left="640" w:hanging="316"/>
        <w:spacing w:after="0" w:line="259"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of decreased personnel costs, driven primarily by the reduction in force that was completed in February 2026. The immediate cost savings associated with the reduction in force were partially offset by the one-time termination benefits incurred during the three months ended March 31,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hanging="316"/>
        <w:spacing w:after="0" w:line="304"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$0.6 million of decreased clinical trial costs, driven by lower patient and site monitoring costs as we approach the completion of the Phase 1/1b clinical trial of WTX-124 and the Phase 1b/2 clinical trial of WTX-330, both of which are expected to be completed in the third quarter of 2026; and</w:t>
      </w:r>
    </w:p>
    <w:p>
      <w:pPr>
        <w:spacing w:after="0" w:line="34"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of decreased costs across all other research and development activities. This decrease was due to our decision to significantly curtail our research and development spending in order to conserve our capital resources that may be necessary in our pursuit of strategic alternatives.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4"/>
        </w:trPr>
        <w:tc>
          <w:tcPr>
            <w:tcW w:w="6120" w:type="dxa"/>
            <w:vAlign w:val="bottom"/>
          </w:tcPr>
          <w:p>
            <w:pPr>
              <w:spacing w:after="0"/>
              <w:rPr>
                <w:sz w:val="24"/>
                <w:szCs w:val="24"/>
                <w:color w:val="auto"/>
              </w:rPr>
            </w:pPr>
          </w:p>
        </w:tc>
        <w:tc>
          <w:tcPr>
            <w:tcW w:w="2820" w:type="dxa"/>
            <w:vAlign w:val="bottom"/>
            <w:gridSpan w:val="4"/>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3"/>
        </w:trPr>
        <w:tc>
          <w:tcPr>
            <w:tcW w:w="6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7"/>
        </w:trPr>
        <w:tc>
          <w:tcPr>
            <w:tcW w:w="6120" w:type="dxa"/>
            <w:vAlign w:val="bottom"/>
          </w:tcPr>
          <w:p>
            <w:pPr>
              <w:spacing w:after="0"/>
              <w:rPr>
                <w:sz w:val="20"/>
                <w:szCs w:val="20"/>
                <w:color w:val="auto"/>
              </w:rPr>
            </w:pP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8"/>
        </w:trPr>
        <w:tc>
          <w:tcPr>
            <w:tcW w:w="6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w:t>
            </w:r>
          </w:p>
        </w:tc>
        <w:tc>
          <w:tcPr>
            <w:tcW w:w="11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Facility costs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5"/>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insurance</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costs</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43"/>
        </w:trPr>
        <w:tc>
          <w:tcPr>
            <w:tcW w:w="6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were $5.1 million for the three months ended March 31, 2026 compared to $4.9 million for three months ended March 31, 2025. The increase of $0.2 million was primarily due to an increase of $0.5 million in professional services fees, driven by an increased reliance on external legal counsel, consultants, and advisors engaged to assist us in our strategic review process. This increase was partially offset by a decrease of $0.2 million in other general and administrative expenses, driven by various cost reduction efforts implemented by us leading up to and in conjunction with our strategic review process.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Interest income was $0.4 million for the three months ended March 31, 2026 compared to $1.0 million for the three months ended March 31, 2025. This decrease in interest income was primarily the result of lower balances in money market accounts during the three months ended March 31, 2026 compared to the three months ended March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 expense was $1.4 million for the three months ended March 31, 2026, compared to $1.3 million for the three months ended March 31, 2025. This increase in interest expense was due to higher non-cash interest expense related to the amortization of debt issuance costs.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Other income, net for the three months ended March 31, 2026 and 2025 was $0.7 million and $0.2 million, respectively, and primarily consisted of the gains recognized for the change in fair value of the derivative liability associated with the K2HV Loan Agreement, as well as foreign currency gains and losses related to services performed by foreign vendors during each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Since our inception in 2017, we have devoted substantially all of our efforts and financial resources to organizing and staffing our company; business planning; raising capital; developing and optimizing our platform technology; identifying potential product candidates; enhancing our intellectual property portfolio; undertaking research, preclinical studies, and clinical trials; and enabling manufacturing for our development programs. Our net loss was $13.5 million for the three months ended March 31, 2026. As of March 31, 2026, we had cash and cash equivalents of $46.5 million and an accumulated deficit of $488.9 million. As we have no products that are approved for sale, we have not generated any revenue from product sales to date, and we do not expect to generate any such revenue for the foreseeable future, if at all. Instead, we have financed our operations primarily through aggregate cash proceeds from convertible promissory notes, private placements of our convertible preferred stock, our initial public offering, payments from Jazz under the Collaboration Agreement, sales of 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our at-the-market program, and the drawdown of our term loans. We expect to incur substantial operating losses and negative cash flows from operations for the foreseeable future. There is substantial doubt about our ability to continue as a going concern for at least twelve months from the date these condensed consolidated financial statements are issued in this Quarterly Report, and we expect continuing operations beyond the near term will require additional liquidity.</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In February 2026, we initiated the 2026 Restructuring and a process to explore a full range of strategic alternatives to advance our promising platform and drug development pipeline to maximize stockholder value. We engaged Piper Sandler to serve as exclusive financial advisor to assist in the strategic review process. Measures contemplated during the strategic review process include the Asset Sale and may also include, among other options, a sale of our company, a business combination or merger, a sale of our assets, licensing or collaboration arrangements, or other strategic transactions. There can be no assurance that the strategic review process will result in any agreement or transaction that will enhance stockholder value, or any agreement or transaction at all.</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part of the 2026 Restructuring, our board of directors approved a reduction in force, representing 64% of our workforce, to better align our resources with our pursuit of strategic alternatives. As a result of the 2026 Restructuring, we recognized a one-time charge of $4.3 million during the three months ended March 31, 2026 consisting of severance payments, retention bonuses, employee benefits and related taxes, stock-based compensation, and contract termination costs. The 2026 Restructuring is expected to be completed by the end of 2026. We may also incur additional costs, including, but not limited to, potential impairment charges and debt extinguishment costs related to the loan repayment described above under the heading “</w:t>
      </w:r>
      <w:r>
        <w:rPr>
          <w:rFonts w:ascii="Times New Roman" w:cs="Times New Roman" w:eastAsia="Times New Roman" w:hAnsi="Times New Roman"/>
          <w:sz w:val="17"/>
          <w:szCs w:val="17"/>
          <w:i w:val="1"/>
          <w:iCs w:val="1"/>
          <w:color w:val="auto"/>
        </w:rPr>
        <w:t>Management’s Discussion and Analysis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Financial Condition and Results of Operations – Recent Developments – Loan Repayment</w:t>
      </w:r>
      <w:r>
        <w:rPr>
          <w:rFonts w:ascii="Times New Roman" w:cs="Times New Roman" w:eastAsia="Times New Roman" w:hAnsi="Times New Roman"/>
          <w:sz w:val="17"/>
          <w:szCs w:val="17"/>
          <w:color w:val="auto"/>
        </w:rPr>
        <w:t>”, the termination of our lease agreement described below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heading “</w:t>
      </w:r>
      <w:r>
        <w:rPr>
          <w:rFonts w:ascii="Times New Roman" w:cs="Times New Roman" w:eastAsia="Times New Roman" w:hAnsi="Times New Roman"/>
          <w:sz w:val="17"/>
          <w:szCs w:val="17"/>
          <w:i w:val="1"/>
          <w:iCs w:val="1"/>
          <w:color w:val="auto"/>
        </w:rPr>
        <w:t>Management’s Discussion and Analysis of Financial Condition and Results of Operations – Liquidity and Capital Resources – Contractual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Obligations – Lease Agreement</w:t>
      </w:r>
      <w:r>
        <w:rPr>
          <w:rFonts w:ascii="Times New Roman" w:cs="Times New Roman" w:eastAsia="Times New Roman" w:hAnsi="Times New Roman"/>
          <w:sz w:val="17"/>
          <w:szCs w:val="17"/>
          <w:color w:val="auto"/>
        </w:rPr>
        <w:t>”, and other events not currently contemplated that may occur as a result of, or that are associated with the 2026 Restructuring.</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our strategic review process is underway, we expect our overall costs will decrease in the near term due to the reduction in force, the completion of our clinical trials, and other cost reduction initiatives. The outcome of our strategic review process will inform our future development plans and the costs associated with those efforts. If we decide to resume enrollment in our clinical trials or development of our preclinical product candidates, however, we expect that our research and development and general and administrative expenses would increase.</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will need additional capital to fund our operations, which we may raise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Additionally, the extent to which we use our at-the-market program as a source of future funding will depend on a number of factors, including the prevailing market price of our common stock, general market conditions, the extent to which we are able to secure funds from other sources, and whether we are then subject to limitations on our ability to use Form S-3 to sell more than one-third of the aggregate market value of our public float in the trailing 12-month period, which limitations will remain in place until such time as our public float exceeds $75 million. Our failure to raise capital or enter into such agreements as and when needed could have a material adverse effect on our business, results of operations and financial condition.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May 2024, we, as borrower, entered into the K2HV Loan Agreement with K2HV (which we refer to, together with any other lender from time to time, as the Lenders); K2HV, as administrative agent for the Lenders (in such capacity, together with its successors, the Administrative Agent); and Ankura Trust Company, LLC, as collateral trustee for the Lenders, or the Collateral Trustee. The K2HV Loan Agreement provided up to $60.0 million principal in term loans. We received $30.0 million in gross loan proceeds at closing; $25.0 million from the first tranche commitment and $5.0 million from the second tranche commitment. A third tranche commitment of up to $10.0 million was available to be drawn at our option through June 30, 2025, subject to the achievement, as determined by the Administrative Agent in its discretion, of certain time-based, clinical and regulatory milestones and receipt of not less than $60.0 million in net cash proceeds from certain financing activities, with at least $50.0 million from a single offering of common stock. Our ability to draw upon the third tranche commitment expired on June 30, 2025 without being drawn upon. A fourth tranche commitment of up to $20.0 million was available to be drawn at our option through May 1, 2026, subject to Lender’s review of our clinical, financial and operating plan and subject to the Lender’s consent in its sole and absolute discretion. Our ability to draw upon the fourth tranche commitment expired on May 1, 2026 without being drawn upon.</w:t>
      </w:r>
    </w:p>
    <w:p>
      <w:pPr>
        <w:spacing w:after="0" w:line="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term loan was scheduled to mature on May 1, 2028, and we were obligated to make interest only payments for the first 24 months followed by interest and equal principal payments each month thereafter through the maturity date. The term loan bore a variable interest rate equal to the greater of (i) 10.3%, and</w:t>
      </w:r>
    </w:p>
    <w:p>
      <w:pPr>
        <w:ind w:firstLine="6"/>
        <w:spacing w:after="0" w:line="251" w:lineRule="auto"/>
        <w:tabs>
          <w:tab w:leader="none" w:pos="2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prime rate last quoted in The Wall Street Journal (or a comparable replacement rate if The Wall Street Journal ceases to quote such rate) and (B) 1.8%. We could prepay,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our option, all, but not less than all, of the outstanding principal balance and all accrued and unpaid interest with respect to the principal balance being prepaid of the term loans, subject to a prepayment premium to which the Lenders were entitled and certain notice requirements. We were obligated to pay a final fee equal to 6.95% of the aggregate amount of the term loans funded, or the Final Fee, to occur upon the earliest of (i) the maturity date, (ii) the acceleration of the term loans, and (iii) the prepayment of the term loans. The Final Fee was being accreted to interest expense using the effective interest method over the life of the debt.</w:t>
      </w:r>
    </w:p>
    <w:p>
      <w:pPr>
        <w:spacing w:after="0" w:line="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Pursuant to the terms of the K2HV Loan Agreement, the lenders thereto had the option, prior to the full repayment of the term loans, to convert up to $5.0 million of the outstanding principal of the term loans into shares of our common stock at a conversion price of the lesser of $6.3182 per share, or the Fixed Price Conversion, and the lowest effective price per share of our first equity financing following the closing of the K2HV Loan Agreement, or the Variable Price Conversion, subject to customary adjustments and 9.99% and 19.99% beneficial ownership limitations. There would have been no prepayment penalty for any principal amount converted into common stock. We determined that the Fixed Price Conversion and the Variable Price Conversion within the K2HV Loan Agreement were required to be bifurcated as an embedded derivative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at fair value, and recorded as a discount on the debt on the date of issuance, with subsequent changes in fair value recognized in the accompanying condensed consolidated statements of operations.</w:t>
      </w:r>
    </w:p>
    <w:p>
      <w:pPr>
        <w:spacing w:after="0" w:line="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security for our obligations under the K2HV Loan Agreement, we granted the Lenders a first priority security interest on substantially all of our assets (other than intellectual property), subject to certain exceptions. The K2HV Loan Agreement contained customary representations and warranties, events of default and affirmative and negative covenants, including covenants that limited or restricted our ability to, among other things, dispose of assets, make changes to our business, management, ownership or business locations, merge or consolidate, incur additional indebtedness, incur additional liens, pay dividends or other distributions or repurchase equity, make investments, and enter into certain transactions with affiliates, in each case subject to certain exceptions. Upon the occurrence of an event of default, a default interest rate of an additional 5.0% per annum may have been applied to the outstanding loan balances, and the Lenders may have declared all outstanding obligations immediately due and payable and exercised all of its rights and remedies as set forth in the K2HV Loan Agreement and under applicable law. As of March 31, 2026, we were in compliance with all covenants.</w:t>
      </w:r>
    </w:p>
    <w:p>
      <w:pPr>
        <w:spacing w:after="0" w:line="8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Subject to certain conditions, we granted the Lenders the right, prior to repayment of the term loans, to invest up to $5.0 million in the aggregate in future offerings of capital stock, at market terms, subject to certain exceptions and conditions.</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incurred debt issuance costs of $0.7 million in connection with the term loans, composed of the facility fee of $0.4 million and other expenses paid to the Lenders of $0.2 million and external legal fees of $0.1 million. These debt issuance costs, together with fair value of the embedded derivative of $4.5 million, resulted in a debt discount of $5.1 million which was being amortized to interest expense over the term of the K2HV Loan Agreement using the effective interest method.</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above under the heading “</w:t>
      </w:r>
      <w:r>
        <w:rPr>
          <w:rFonts w:ascii="Times New Roman" w:cs="Times New Roman" w:eastAsia="Times New Roman" w:hAnsi="Times New Roman"/>
          <w:sz w:val="18"/>
          <w:szCs w:val="18"/>
          <w:i w:val="1"/>
          <w:iCs w:val="1"/>
          <w:color w:val="auto"/>
        </w:rPr>
        <w:t>Management’s Discussion and Analysis of Financial Condition and Results of Operations – Recent Developments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Loan Repayment</w:t>
      </w:r>
      <w:r>
        <w:rPr>
          <w:rFonts w:ascii="Times New Roman" w:cs="Times New Roman" w:eastAsia="Times New Roman" w:hAnsi="Times New Roman"/>
          <w:sz w:val="18"/>
          <w:szCs w:val="18"/>
          <w:color w:val="auto"/>
        </w:rPr>
        <w:t>”, on May 6, 2026, we entered into a letter agreement with K2HV and the Collateral Trustee providing for the repayment by us of all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owed under the K2HV Loan Agreement. On May 6, 2026, upon payment by us of approximately $31.4 million, all of our indebtedness and obligations to the Collateral Trustee and the Lenders under the K2HV Loan Agreement and any other related loan and collateral security documents was deemed paid and discharged in full.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Offering</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10, 2022, we entered into a sales agreement, or the Sales Agreement, with Leerink Partners LLC, or Leerink Partners, pursuant to which, from time to time, we may offer and sell shares of our common stock, which we refer to as the ATM Offering. The Sales Agreement provides that Leerink Partners is entitled to a sales commission equal to 3.0% of the gross sales price per share of all shares sold under the ATM Offering. We were initially entitled to offer and sell shares of our common stock having an aggregate offering price of up to $50.0 million in the ATM Offering, which was subsequently increased in February 2024 to $75.0 million. On May 8, 2025, we filed a new Registration Statement on Form S-3 and filed a new prospectus covering the ATM Offering, or the Prospectus, with an aggregate offering price of up to $12.5 million in the ATM Offering as a result of being subject to General Instruction I.B.6 of Form S-3, or the Baby Shelf Limitation. As of March 31, 2026, we remain subject to the Baby Shelf Limitation. During the three months ended March 31, 2026, we did not sell any shares of our common stock under the ATM Offering.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Jazz Collaboration</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we had received $20.0 million in payments from Jazz, excluding payments for reimbursed costs, under the terms of the Collaboration Agreement. Pursuant to the Purchase Agreement, Jazz paid to us upfront consideration of $21.0 million and has agreed to pay an additional $2.0 million upon the consent to the partial assignment a certain license agreement, as and to the extent such agreement relates to the conduct of the 898 Program. Jazz also assumed certain liabilities of ours relating to the 898 Program arising after the Closing.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Effective as of the Closing, the Collaboration Agreement was terminated, and as a result, we are no longer eligible to receive additional development and regulatory milestones or sales-based milestones for any Licensed Products.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March 31, 2026, we had cash and cash equivalents of $46.5 million. We also had restricted cash and cash equivalents of $0.9 million as of March 31, 2026. Subsequent to the end of the first quarter of 2026, we entered into the Purchase Agreement with Jazz and repaid all obligations under the K2HV Loan Agreement, in each case as described above. We plan to update cash runway guidance in the near future, however, based on our current operating plan, we expect that our cash and cash equivalents will be insufficient to allow us to fund our current operating plan through at least twelve months from the date these condensed consolidated financial statements are issued in this Quarterly Report. These conditions raise substantial doubt about our ability to continue as a going concern for at least twelve months from the date these condensed consolidated financial statements are issued in this Quarterly Report. As described above, we have initiated a process to explore a full range of strategic alternatives to advance our promising platform and drug development pipeline to maximize stockholder. The outcome of our strategic review process will inform our future funding requirements, however, because of the numerous risks and uncertainties associated with the strategic review process, we are unable to estimate our current operating capital requirements.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1" w:lineRule="exact"/>
        <w:rPr>
          <w:sz w:val="20"/>
          <w:szCs w:val="20"/>
          <w:color w:val="auto"/>
        </w:rPr>
      </w:pPr>
    </w:p>
    <w:p>
      <w:pPr>
        <w:ind w:left="960" w:hanging="398"/>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timing, and extent of our strategic review process;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pursuit of viable strategic alternatives, if any;</w:t>
      </w:r>
    </w:p>
    <w:p>
      <w:pPr>
        <w:spacing w:after="0" w:line="111"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researching and developing our current product candidates or any future product candidates, including with respect to our clinical trials of WTX-124 and WTX-330 and the costs associated with attracting, hiring and retaining skilled personnel and consultants as our preclinical and clinical activities increase;</w:t>
      </w:r>
    </w:p>
    <w:p>
      <w:pPr>
        <w:spacing w:after="0" w:line="7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WTX-124, WTX-330, and any future product candidates for clinical trials and, if we are able to obtain marketing approval, for commercial sale;</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third-party products used in our combination clinical trials that are not covered by such third parties or other sources;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Jazz;</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 involved in, obtaining marketing approval for WTX-124 and WTX-330 or any future product candidates, and our ability to obtain marketing approval and generate revenue from any potential commercial sales of such product candidates;</w:t>
      </w:r>
    </w:p>
    <w:p>
      <w:pPr>
        <w:spacing w:after="0" w:line="57"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building a sales force in anticipation of product commercialization and the cost of commercialization activities for WTX-124, WTX-330, our INDUCER molecules, or any future product candidates if we receive marketing approval, including marketing, sales and distribution costs;</w:t>
      </w:r>
    </w:p>
    <w:p>
      <w:pPr>
        <w:spacing w:after="0" w:line="7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emergence of competing therapies and other adverse market developments;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payments we may be required to make pursuant to our license agreement with Harpoon Therapeutics, Inc., or other future license agreements or collaboration agreements;</w:t>
      </w:r>
    </w:p>
    <w:p>
      <w:pPr>
        <w:spacing w:after="0" w:line="57" w:lineRule="exact"/>
        <w:rPr>
          <w:rFonts w:ascii="Times New Roman" w:cs="Times New Roman" w:eastAsia="Times New Roman" w:hAnsi="Times New Roman"/>
          <w:sz w:val="18"/>
          <w:szCs w:val="18"/>
          <w:color w:val="auto"/>
        </w:rPr>
      </w:pPr>
    </w:p>
    <w:p>
      <w:pPr>
        <w:ind w:left="960" w:right="20" w:hanging="39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may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capital when needed or on acceptable terms, we may be forced to delay, reduce, or eliminate certain costs related to our operations and research and development programs.</w:t>
      </w:r>
    </w:p>
    <w:p>
      <w:pPr>
        <w:sectPr>
          <w:pgSz w:w="11900" w:h="16838" w:orient="portrait"/>
          <w:cols w:equalWidth="0" w:num="1">
            <w:col w:w="11240"/>
          </w:cols>
          <w:pgMar w:left="320" w:top="121" w:right="339" w:bottom="144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 and cash equivalents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7"/>
        </w:trPr>
        <w:tc>
          <w:tcPr>
            <w:tcW w:w="38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80" w:type="dxa"/>
            <w:vAlign w:val="bottom"/>
          </w:tcPr>
          <w:p>
            <w:pPr>
              <w:spacing w:after="0"/>
              <w:rPr>
                <w:sz w:val="19"/>
                <w:szCs w:val="19"/>
                <w:color w:val="auto"/>
              </w:rPr>
            </w:pPr>
          </w:p>
        </w:tc>
      </w:tr>
      <w:tr>
        <w:trPr>
          <w:trHeight w:val="442"/>
        </w:trPr>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100" w:type="dxa"/>
            <w:vAlign w:val="bottom"/>
          </w:tcPr>
          <w:p>
            <w:pPr>
              <w:spacing w:after="0"/>
              <w:rPr>
                <w:sz w:val="24"/>
                <w:szCs w:val="24"/>
                <w:color w:val="auto"/>
              </w:rPr>
            </w:pP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(18,948)</w:t>
            </w:r>
          </w:p>
        </w:tc>
      </w:tr>
      <w:tr>
        <w:trPr>
          <w:trHeight w:val="218"/>
        </w:trPr>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98" w:lineRule="exact"/>
        <w:rPr>
          <w:sz w:val="20"/>
          <w:szCs w:val="20"/>
          <w:color w:val="auto"/>
        </w:rPr>
      </w:pPr>
    </w:p>
    <w:p>
      <w:pPr>
        <w:sectPr>
          <w:pgSz w:w="11900" w:h="16838" w:orient="portrait"/>
          <w:cols w:equalWidth="0" w:num="2">
            <w:col w:w="7140" w:space="720"/>
            <w:col w:w="3380"/>
          </w:cols>
          <w:pgMar w:left="320" w:top="121" w:right="339" w:bottom="1440" w:gutter="0" w:footer="0" w:header="0"/>
          <w:type w:val="continuous"/>
        </w:sect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$10.6 million compared to $18.9 million for the three months ended March 31, 2025. The decrease in cash used for operating activities of $8.4 million is the result of various cost reduction efforts implemented during the three months ended March 31, 2026. Our operating expenses, excluding non-cash expenses, have decreased $3.6 million during the three months ended March 31, 2026 compared to the three months ended March 31, 2025. Additionally, we recognized a decrease of $5.2 million in cash used to pay down our current liabilities during the three months ended March 31, 2026. Finally, interest income recognized during the three months ended March 31, 2026 decreased by $0.6 million compared to the three months ended March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contract research organizations, or CROs, contract manufacturers, vendors and other third parties for preclinical studies and clinical trials, manufacturing services and other services and products for operating purposes. These contracts do not contain minimum purchase commitments and are cancellable by us upon prior written notice. Payments due upon cancellation consist only of payments for services provided or expenses incurred, including noncancelable obligations of our service providers, up to the date of cancellation.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 and Capital Resources – Sources of Liquidity – Term Loan Facility”</w:t>
      </w:r>
      <w:r>
        <w:rPr>
          <w:rFonts w:ascii="Times New Roman" w:cs="Times New Roman" w:eastAsia="Times New Roman" w:hAnsi="Times New Roman"/>
          <w:sz w:val="18"/>
          <w:szCs w:val="18"/>
          <w:color w:val="auto"/>
        </w:rPr>
        <w:t xml:space="preserve"> for descriptions of the K2HV Loan Agreement and the prepayment thereof.</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Agreement</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lease for office and laboratory space that we entered into in June 2021 commenced in May 2022 and was scheduled to expire in May 2030. On May 7, 2026, we entered into an Agreement for Termination of Lease and Voluntary Surrender of Premises (the “Lease Termination”) with ARE-770/784/790 Memorial Drive, LLC (the “Landlord”), pursuant to which we and the Landlord agreed to terminate that certain lease, dated June 1, 2021, as amended, by and between us and the Landlord (the “Lease”), effective October 31, 2026 or such sooner date as a party provides notices in accordance with the Lease Termination (the “Lease Termination Date”). Under the Lease, we leased approximately 25,778 square feet of space, consisting of the entire building located at 200 Talcott Avenue, Watertown, Massachusetts. Pursuant to the Lease Termination, we will pay the Landlord an aggregate termination fee of $2.7 million, which shall represent full satisfaction of all remaining payments and other financial obligations due from us to the Landlord under the Lease including, without limitation, Base Rent (as defined in the Lease) for the months of May 2026 through October 2026. We will have no further rent obligations to the Landlord pursuant to the Lease after the Lease Termination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and related disclosures requires us to make estimates and assumptions that affect the reported amounts of assets and liabilities, costs and expenses and the disclosure of contingent assets and liabilities in our financial statements and accompanying notes. On an ongoing basis, we evaluate our estimates which include, but are not limited to those related to accrued expenses, assumptions used in the valuation of stock-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based compensation expense and the fair value of the derivative liability. We base our estimates on historical experience, known trends and events and various other factors that we believe to be reasonable under the circumstances. Actual results could differ from those estimates under different assumptions and conditions.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critical accounting policies are described under the heading “Management’s Discussion and Analysis of Financial Condition and Results of Operations —</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 and Estimates” in our 2025 Annual Report, which was filed with the SEC on March 27, 2026. During the three months ended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there were no material changes to our critical accounting policies from those previously disclosed.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or the Exchange Act, and are not required to provide the information under this item.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the effectiveness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2026, our principal executive officer and principal financial officer concluded that, as of such date, our disclosure controls and procedures were effective at the reasonable assurance level.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most recent fiscal quarter covered by this Quarterly Report that have materially affected, or are reasonably likely to materially affect, our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Events.</w:t>
      </w:r>
    </w:p>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Because this Quarterly Report on Form 10-Q is being filed within four business days from the date of a reportable event, we have elected to make the following disclosure in this Quarterly Report on Form 10-Q instead of in a Current Report on Form 8-K under Items 1.01, 1.02 and 2.01.</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 Termination of Collaboration Agreement</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6, 2026 (the “Closing”), the Company entered into an asset purchase agreement (the “Purchase Agreement”) with Jazz Pharmaceuticals Ireland Limited, a corporation organized under the laws of Ireland (“Jazz”). In April 2022, the Company entered into a global collaboration and license agreement (the “Collaboration Agreement”) with Jazz under which Jazz acquired exclusive global development and commercialization rights to JZP898, as well as products containing certain isolated recombinant polypeptides comprising IFNα that meet specified criteria (each such product, a Licensed Product). Subject to the terms and conditions of the Purchase Agreement, the Company sold to Jazz (the “Asset Sale”) its program (the “898 Program”) for the development, manufacturing, commercialization, use and other exploitation of the Licensed Product. Pursuant to the Purchase Agreement and related ancillary agreements, in consideration for the Transferred Assets, Jazz paid to the Company upfront consideration of $21.0 million, and has agreed to pay an additional $2.0 million upon the consent to the partial assignment a certain license agreement, as and to the extent such agreement relates to the conduct of the 898 Program. Jazz also assumed certain liabilities of the Company relating to the 898 Program arising after the Closing.</w:t>
      </w:r>
    </w:p>
    <w:p>
      <w:pPr>
        <w:spacing w:after="0" w:line="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of each of the Company and Jazz. The Purchase Agreement further provides that, subject to certain limitations, the Company and Jazz will each indemnify the other for certain losses arising from such breaches of representations, warranties and covenants and liabilities allocated to such party pursuant to the terms of the Purchase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the Purchase Agreement contains a non-competition covenant pursuant to which the Company agreed not to exploit any IFNα or variant thereof, or any product containing any IFNα or variant thereof, for a period of eighteen (18) months after the Closing, subject to customary exceptions for change of control transactions.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as of the Closing, the Collaboration Agreement was terminated.</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foregoing description of the terms of the Purchase Agreement does not purport to be complete and is qualified in its entirety by reference to the terms and conditions of the Purchase Agreement, a copy of which the Company intends to file as an exhibit to its Quarterly Report on Form 10-Q for the quarter ending June 30,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Repayment</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6, 2026, the Company entered into a letter agreement providing for the repayment by the Company of all amounts owed under the loan and security agreement, dated May 2, 2024 (the “K2HV Loan Agreement”), by and among the Company, the lenders from time to time party hereto (collectively, “Lenders”, and each, a “Lender”), K2 HealthVentures LLC (“K2HV”), as administrative agent for Lenders (in such capacity, together with its successors, “Administrative Agent”), and ANKURA TRUST COMPANY, LLC, as collateral trustee for Secured Parties (in such capacity, together with its successors, “Collateral Trustee”). On May 6, 2026, upon payment by the Company of approximately $31.4 million, all of the Company’s indebtedness and obligations to the Collateral Trustee and the Lenders under the Loan Agreement and any other related loan and collateral security documents was deemed paid and discharged in full.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Termination</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May 7, 2026, the Company entered into an Agreement for Termination of Lease and Voluntary Surrender of Premises (the “Lease Termination”) with ARE-770/784/790 Memorial Drive, LLC (the “Landlord”), pursuant to which the Company and Landlord agreed to terminate that certain the lease, dated June 1, 2021, as amended, by and between the Company and the Landlord (the “Lease”), effective October 31, 2026 or such sooner date as a party provides notices in accordance with the Lease Termination (the “Lease Termination Date”). Under the Lease, the Company leased approximately 25,778 square feet of space, consisting of the entire building located at 200 Talcott Avenue, Watertown, Massachusetts. Pursuant to the Lease Termination, the Company will pay the Landlord an aggregate termination fee of $2.7 million, which shall represent full satisfaction of all remaining payments and other financial obligations due from the Company to Landlord under the Lease including, without limitation, Base Rent (as defined in the Lease) for the months of May 2026 through October 2026. The Company will have no further rent obligations to the Landlord pursuant to the Lease after the Lease Termination Date.</w:t>
      </w:r>
    </w:p>
    <w:p>
      <w:pPr>
        <w:spacing w:after="0" w:line="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foregoing description of the terms of the Lease Termination does not purport to be complete and is qualified in its entirety by reference to the terms and conditions of the Lease Termination, a copy of which the Company intends to file as an exhibit to our Quarterly Report on Form 10-Q for the quarter ending June 30, 2026.</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Our business is subject to numerous risks. You should carefully consider the risks described below, as well as the other information in this Quarterly Report, including our condensed consolidated financial statements and the related notes and Item 2. Management’s Discussion and Analysis of Financial Condition and Results of Operations. The occurrence of any of the events or developments described below could materially and adversely affect our business, financial condition, results of operations and future growth prospects. Additional risks and uncertainties not presently known to us or that we currently deem immaterial also may impair our business operations. This Quarterly Report also contains forward-looking statements that involve risks and uncertainties. Our actual results could differ materially from those anticipated in the forward-looking statements as a result of a number of factors, including the risks described below.</w:t>
      </w:r>
    </w:p>
    <w:p>
      <w:pPr>
        <w:spacing w:after="0" w:line="63" w:lineRule="exact"/>
        <w:rPr>
          <w:sz w:val="20"/>
          <w:szCs w:val="20"/>
          <w:color w:val="auto"/>
        </w:rPr>
      </w:pPr>
    </w:p>
    <w:p>
      <w:pPr>
        <w:ind w:right="410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Risks Related to Our Limited Operating History, Financial Position and Capital Requirements </w:t>
      </w:r>
      <w:r>
        <w:rPr>
          <w:rFonts w:ascii="Times New Roman" w:cs="Times New Roman" w:eastAsia="Times New Roman" w:hAnsi="Times New Roman"/>
          <w:sz w:val="18"/>
          <w:szCs w:val="18"/>
          <w:b w:val="1"/>
          <w:bCs w:val="1"/>
          <w:i w:val="1"/>
          <w:iCs w:val="1"/>
          <w:color w:val="auto"/>
        </w:rPr>
        <w:t>Substantial doubt exists as to our ability to continue as a going concern.</w:t>
      </w:r>
    </w:p>
    <w:p>
      <w:pPr>
        <w:spacing w:after="0" w:line="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of March 31, 2026, we had cash and cash equivalents of $46.5 million, an accumulated deficit of $488.9 million and during the three months ended March 31, 2026 we used $10.6 million in cash and cash equivalents to fund operating activities. We expect to incur substantial operating losses and negative cash flows from operations for the foreseeable future. There is substantial doubt about our ability to continue as a going concern for at least twelve months from the date these condensed consolidated financial statements are issued in this Quarterly Report, and we expect continuing operations beyond the near term will require additional liquidity. We have not established a source of revenue to fund operating activities and we have no dedicated source of liquidity available to us other than our ATM Offering. We have been in the past and are currently subject to General Instruction I.B.6 of Form S-3, which may limit our ability to sell shares of our common stock through the ATM Offering for the foreseeable future. We may also be required to reduce our current spending requirements where possible.</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If we utilize our capital resources more quickly than anticipated or are unable to obtain additional funding or engage in strategic alternatives to advance our promising platform and drug development pipeline, we may have to significantly curtail, delay, reduce or eliminate one or more of our research and development programs, which could materially adversely affect our business, financial condition, and results of operations. If we are unable to successfully mitigate the conditions which raise substantial doubt about our ability to continue as a going concern, we may have to liquidate our assets and may receive less than the value at which those assets are carried on our financial statements, and it is likely that investors will lose all or part of their investment, or our board of directors may conclude that it is in the best interest of our stockholders to cease normal operations and wind down the company through bankruptcy or dissolution proceedings. In such case, we would be required to pay our obligations and set aside funds for reserves prior to making any distribution to stockholders and there would be no assurances that there would be any assets remaining available for distribution to stockholders in such event.</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If we are unable to raise capital, we could be forced to delay, reduce, or eliminate our product development programs or commercialization efforts, engage in one or more potential transactions, or cease our operations entirely. We are continuing to evaluate strategic alternatives and our ability to extend our capital resources. The potential impact and success of our exploration of any strategic alternatives, if available at all, are uncertain and may not be successful.</w:t>
      </w:r>
    </w:p>
    <w:p>
      <w:pPr>
        <w:spacing w:after="0" w:line="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Based on our current operating plan, we do not expect that our existing cash resources will be sufficient to fund our operations for at least twelve months from the date these condensed consolidated financial statements are issued in this Quarterly Report. If we are unable to raise additional capital, we may seek to engage in one or more potential transactions, such as the sale of our company, a strategic partnership with one or more parties or the licensing, sale or divestiture of some of our assets or proprietary technologies, or we may be forced to cease our operation entirely. There can be no assurance that we will be able to enter into such a transaction or transactions on a timely basis or on terms that are favorable to us. If we are unable to raise capital when needed or on attractive terms, or should we engage in one or more potential strategic transactions, we could be forced to delay, reduce, or eliminate our research and development programs or any future commercialization efforts or to cease operations entirely. Our future business, prospects, financial position and operating results could be significantly different than those in historical periods or projected by our management.</w:t>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February 24, 2026, we announced that we plan to explore strategic alternatives to maximize near and long-term stockholder value, which include the Asset Sale described above under the heading “</w:t>
      </w:r>
      <w:r>
        <w:rPr>
          <w:rFonts w:ascii="Times New Roman" w:cs="Times New Roman" w:eastAsia="Times New Roman" w:hAnsi="Times New Roman"/>
          <w:sz w:val="17"/>
          <w:szCs w:val="17"/>
          <w:i w:val="1"/>
          <w:iCs w:val="1"/>
          <w:color w:val="auto"/>
        </w:rPr>
        <w:t>Management’s Discussion and Analysis of Financial Condition and Results of Operations – Recent Developments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Asset Purchase Agreement; Termination of Collaboration Agreement</w:t>
      </w:r>
      <w:r>
        <w:rPr>
          <w:rFonts w:ascii="Times New Roman" w:cs="Times New Roman" w:eastAsia="Times New Roman" w:hAnsi="Times New Roman"/>
          <w:sz w:val="17"/>
          <w:szCs w:val="17"/>
          <w:color w:val="auto"/>
        </w:rPr>
        <w:t>” and may also include a sale of our company, a business combination or merger, a sale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assets, licensing or collaboration arrangements, or other strategic transactions. We do not have a defined timeline for the exploration and evaluation of strategic alternatives, and there can be no assurance that the process will result in any strategic alternative being announced or consummated. Because of the significant uncertainty regarding these events, we are not able to accurately predict the impact of any potential changes in our existing business strategy.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market price of our common stock may reflect a market assumption that a strategic alternative will occur, and a failure to complete a strategic alternative on favorable terms, in an advantageous timeframe, or at all could result in negative investor perceptions and could cause a decline in the market price of our common stock, which could adversely affect our ability to access the equity and financial markets, as well as our ability to explore and enter into future strategic alternatives. In addition, potential strategic alternatives, if available, that require stockholder approval may not be approved by our stockholders.</w:t>
      </w:r>
    </w:p>
    <w:p>
      <w:pPr>
        <w:spacing w:after="0" w:line="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operating losses since our inception and expect to incur significant losses for the foreseeable future.</w:t>
      </w:r>
    </w:p>
    <w:p>
      <w:pPr>
        <w:spacing w:after="0" w:line="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an early-stage biopharmaceutical company with a limited operating history upon which our business and prospects can be evaluated. We commenced operations in 2017. To date, we have focused primarily on organizing and staffing our company; business planning; raising capital; developing and optimizing our platform technology; identifying potential product candidates; enhancing our intellectual property portfolio; undertaking research, preclinical studies, and clinical trials; and enabling manufacturing for our development programs. Our approach to the discovery and development of product candidates based on our PREDATOR platform is unproven, and we do not know whether we will be able to develop any approved products of commercial value. In addition, we currently only have two product candidates that we are developing independently, WTX-124 and WTX-330, and all of our other development programs are in discovery or preclinical stages. We have not yet demonstrated an ability to successfully complete any Phase 1, Phase 2 or pivotal clinical trials, obtain regulatory approvals, manufacture a commercial-scale product, or arrange for a third party to do so on our behalf, or conduct the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have not yet generated any product revenue. If our product candidates are not successfully developed and approved, we may never generate any product revenue. Our net loss was $13.5 million for the three months ended March 31, 2026. As of March 31, 2026, we had an accumulated deficit of $488.9 million. We expect to continue to incur losses for the foreseeable future, and we anticipate these losses will increase substantially as WTX-124 and WTX-330 advance through development, and any future product candidates advance through preclinical studies and into and through clinical trials, and as we expand our clinical, regulatory, quality and manufacturing capabilities and incur additional costs associated with operating as a public company. If we obtain marketing approval for any of our product candidates, we will incur significant commercialization expenses for marketing, sales, manufacturing and distribution. We may encounter unforeseen expenses, difficulties, complications, delays and other known or unknown factors in achieving our business objectives. We will need to develop commercial capabilities, and we may not be successful in doing so. The net losses we incur may fluctuate significantly from quarter to quarter and year to year.</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no products approved for commercial sale and have not generated any revenue from product sales. We may never generate any revenue or become profitable or, if we achieve profitability, we may not be able to sustain it.</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To date, we have not generated any revenue from our product candidates or product sales, we do not expect to generate any revenue from the sale of products for a number of years and we may never generate revenue from the sale of products. Our ability to generate product revenue depends on a number of factors, including, but not limited to, our ability to:</w:t>
      </w:r>
    </w:p>
    <w:p>
      <w:pPr>
        <w:spacing w:after="0" w:line="72" w:lineRule="exact"/>
        <w:rPr>
          <w:sz w:val="20"/>
          <w:szCs w:val="20"/>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our ongoing and planned preclinical studies;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submit investigational new drug, or IND, submissions to the U.S. Food and Drug Administration, or FDA, for any future product candidates;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clinical trials for WTX-124 and WTX-330;</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enroll subjects in and complete future clinical trials;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and efficacy studies to obtain U.S. and foreign regulatory approval for our product candidates;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clinical and commercial manufacturing capabilities or make arrangements with third party manufacturers for clinical supply and commercial manufacturing;</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or regulatory exclusivity for our product candidates;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the products, if and when approved, by patients, the medical community and third-party payors;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39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healthcare coverage and adequate reimbursement;</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intellectual property rights and claims;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products following approval.</w:t>
      </w:r>
    </w:p>
    <w:p>
      <w:pPr>
        <w:spacing w:after="0" w:line="1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expenses we may incur in connection with these activities prior to generating product revenue. In addition, we may never succeed in these activities and, even if we do, may never generate revenues that are significant enough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candidates or even continue our operations. A decline in the value of our company could also cause our stockholders to lose all or part of their investment.</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substantial additional funding to finance our operations and complete the development and any commercialization of WTX-124, WTX-330, our INDUCER molecules, and any future product candidates. If we are unable to raise this capital when needed, we may be forced to delay, reduce or eliminate one or more of our research and development programs or other operations.</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w:t>
      </w:r>
    </w:p>
    <w:p>
      <w:pPr>
        <w:spacing w:after="0" w:line="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do not have cash and cash equivalents sufficient to complete development of WTX-124, WTX-330, our INDUCER molecules or any other product candidate. Accordingly, we will be required to obtain further funding through public or private equity offerings, debt financings, collaborations and licensing arrangements or other sources. Adequate additional financing may not be available to us on acceptable terms, or at all. Our failure to raise capital as and when needed, on acceptable terms or at all, would have a negative effect on our financial condition and our ability to develop and commercialize our current and any future product candidates, and otherwise pursue our business strategy and we may be forced to delay, reduce or eliminate our research and development programs or future commercialization efforts.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cash forecasts are based on assumptions that may prove to be wrong, and we could use our available capital resources earlier than we currently expect. Changing circumstances could cause us to consume capital significantly faster than we currently anticipate, and we may need to seek additional financing sooner than planned. In addition, we may seek additional capital due to favorable market conditions or strategic considerations even if we believe we have sufficient funds for our current or future operating plans.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both short-term and long-term, will depend on many factors, including:</w:t>
      </w:r>
    </w:p>
    <w:p>
      <w:pPr>
        <w:spacing w:after="0" w:line="111" w:lineRule="exact"/>
        <w:rPr>
          <w:sz w:val="20"/>
          <w:szCs w:val="20"/>
          <w:color w:val="auto"/>
        </w:rPr>
      </w:pPr>
    </w:p>
    <w:p>
      <w:pPr>
        <w:ind w:left="960" w:hanging="39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researching and developing our current product candidates, including with respect to WTX-124 and WTX-330, our INDUCER molecules, or any future product candidates;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attracting, hiring and retaining skilled personnel and consultants as our preclinical and clinical activities increase;</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lead product candidates, WTX-124 and WTX-330, and any future product candidates for clinical trials and, if we are able to obtain marketing approval, for commercial sale;</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third-party products used in our combination clinical trials that are not covered by such third parties or other sources;</w:t>
      </w:r>
    </w:p>
    <w:p>
      <w:pPr>
        <w:spacing w:after="0" w:line="111" w:lineRule="exact"/>
        <w:rPr>
          <w:rFonts w:ascii="Times New Roman" w:cs="Times New Roman" w:eastAsia="Times New Roman" w:hAnsi="Times New Roman"/>
          <w:sz w:val="18"/>
          <w:szCs w:val="18"/>
          <w:color w:val="auto"/>
        </w:rPr>
      </w:pPr>
    </w:p>
    <w:p>
      <w:pPr>
        <w:ind w:left="960" w:hanging="398"/>
        <w:spacing w:after="0" w:line="304" w:lineRule="auto"/>
        <w:tabs>
          <w:tab w:leader="none" w:pos="9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the cost involved in, obtaining marketing approval for WTX-124, WTX-330, our INDUCER molecules, or any future product candidates, and our ability to obtain marketing approval and generate revenue from any potential commercial sales of such product candidates;</w:t>
      </w:r>
    </w:p>
    <w:p>
      <w:pPr>
        <w:spacing w:after="0" w:line="34" w:lineRule="exact"/>
        <w:rPr>
          <w:rFonts w:ascii="Times New Roman" w:cs="Times New Roman" w:eastAsia="Times New Roman" w:hAnsi="Times New Roman"/>
          <w:sz w:val="17"/>
          <w:szCs w:val="17"/>
          <w:color w:val="auto"/>
        </w:rPr>
      </w:pPr>
    </w:p>
    <w:p>
      <w:pPr>
        <w:jc w:val="both"/>
        <w:ind w:left="960" w:hanging="398"/>
        <w:spacing w:after="0" w:line="259"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building a sales force in anticipation of product commercialization and the cost of commercialization activities for WTX-124, WTX-330, our INDUCER molecules, or any future product candidates if we receive marketing approval, including marketing, sales and distribution costs;</w:t>
      </w:r>
    </w:p>
    <w:p>
      <w:pPr>
        <w:spacing w:after="0" w:line="7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emergence of competing therapies and other adverse market developments;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any payments we may be required to make pursuant to our license agreement with Harpoon Therapeutics, Inc., or Harpoon, or other future license agreements or collaboration agreements;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right="20" w:hanging="39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other products and technologies;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the imposition of new or revised global trade tariffs;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both inside and outside the U.S.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or other operations.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if any, will be derived from sales of products that we do not expect to be commercially available for a number of years, if at all. If we obtain marketing approval for WTX-124, WTX-330 or any other product candidates that we develop, we expect to incur significant commercialization expenses related to product sales, marketing, distribution and manufacturing. Some of these expenses may be incurred in advance of marketing approval and could be substantial.</w:t>
      </w:r>
    </w:p>
    <w:p>
      <w:pPr>
        <w:spacing w:after="0" w:line="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platform technology or product candidates.</w:t>
      </w:r>
    </w:p>
    <w:p>
      <w:pPr>
        <w:spacing w:after="0" w:line="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Unless and until we can generate a substantial amount of product revenue, we expect to seek additional capital through a combination of public or private equity offerings, debt financings, collaborations and licensing arrangements or other sources. Our issuance of additional securities, whether equity or debt, or the possibility of such issuance, may cause the market price of our common stock to decline, and our stockholders may not agree with our financing plans or the terms of such financings.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The incurrence of indebtedness would result in payment obligations and could require us to comply with certain restrictive covenants, such as limitations on our ability to incur additional debt, limitations on our ability to declare dividends, limitations on our ability to acquire or license intellectual property rights and other operating restrictions that could adversely impact our ability to conduct our business. If we raise additional funds through collaborations and licensing arrangements with third parties, we may have to relinquish valuable rights to our platform technology or product candidates or grant licenses on terms unfavorable to us. In addition, securing additional financing would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could adversely affect our business and financial condition.</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Changes in tax laws or in their implementation or interpretation may adversely affect our business or financial condition. The Tax Cuts and Jobs Act, or the TCJA, as amended by the Coronavirus Aid, Relief, and Economic Security Act, or CARES Act, significantly revised the Internal Revenue Code of 1986, as amended, or the Code. The TCJA, among other things, contains significant changes to corporate taxation, including the reduction of the corporate tax rate from a top marginal rate of 35% to a flat rate of 21% and, for taxable years beginning after December 31, 2020, the limitation of the deduction for net operating losses to 80% of current year taxable income for losses arising in taxable years beginning after December 31, 2017 (though any such net operating losses may be carried forward indefinitely but no longer carried back). In addition, beginning in 2022, the TCJA eliminated the option to deduct research and development expenditures currently and generally requires corporations to capitalize and amortize them over five years or 15 years (for expenditures attributable to foreign research).</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CARES Act, as part of Congress’s response to the COVID-19 pandemic, economic relief legislation was enacted in 2020 and 2021 containing tax provisions. The Inflation Reduction Act, or the IRA, which was signed into law in August 2022, also introduced new tax provisions, including a one percent excise tax imposed on certain stock repurchases by publicly traded companies, which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Regulatory guidance under the TCJA and such additional legislation is and continues to be forthcoming, and such</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guidance could ultimately increase or lessen their impact on our business and financial condition. Congress may also enact additional legislation, some of which could have an impact on us. In addition, it is uncertain if and to what extent various states will conform to the TCJA and additional tax legislation.</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July 2025, the One Big Beautiful Bill Act, or the OBBBA, which implements certain U.S. tax law changes that may impact our business, was enacted into law. The OBBBA modified and made permanent several provisions of the TCJA, including reductions in scheduled increases for the rate of taxation of foreign income, immediate deductibility of U.S. research and development expenses, and reinstatement of 100% bonus depreciation for capital assets. The effects of the OBBBA on our business and the healthcare industry in general are not yet known.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incurred substantial losses during our history. We do not anticipate generating revenue from sales of products for the foreseeable future, if ever, and we may never achieve profitability. As of December 31, 2025, we had federal and state net operating loss carryforwards of $215.3 million and $153.7 million, respectively. Under Section 382 of the Code, if a corporation undergoes an “ownership change” (generally defined as a greater than 50 percentage point change (by value) in the ownership of its equity by certain stockholders over a three-year period), the corporation’s ability to use its pre-change net operating loss carryforwards and other pre-change tax attributes to offset its post-change income may be limited. As a result of our prior private placement financings or other transactions, we have experienced ownership changes on June 10, 2019, August 2, 2019 and August 31, 2022, and we may in the future experience ownership changes as a result of subsequent changes in our stock ownership for purposes of Section 382. As a result, if we earn net taxable income, our ability to use our pre-change net operating loss carryforwards and other pre-change tax attributes to offset U.S. federal taxable income are subject to limitations, which could result in increased future tax liability to us and could have an adverse effect on our future results of operations. There is also a risk that due to regulatory changes, such as suspension of the use of net operating losses, or for other unforeseen reasons, our existing net operating losses and other tax attributes could expire or otherwise become unavailable to offset future income tax liabilities. As described above in “Changes in tax laws or in their implementation or interpretation could adversely affect our business and financial condition,” the TCJA, as amended by the CARES Act, includes changes to U.S. federal tax rates and rules governing net operating loss carryforwards that may significantly impact our ability to utilize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Regulatory Approval and Commercialization of Our Product Candidates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our current product candidates will require successful completion of preclinical and clinical development before we can seek regulatory approval for any product candidates.</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early in our development efforts and have invested substantially all of our efforts and financial resources in building our PREDATOR platform and developing our initial INDUKINE and INDUCER molecules by leveraging our PREDATOR platform. Our lead product candidates are in the early stages of clinical trial development. Additionally, we have a portfolio of programs that are in even earlier stages of preclinical development and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sales of any product, and we may never be able to develop or commercialize a marketable product.</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initial INDUKINE and INDUCER molecules, which are in the early stages of development and will require significant additional preclinical and clinical development before we can seek regulatory approval for and launch a product commercially.</w:t>
      </w:r>
    </w:p>
    <w:p>
      <w:pPr>
        <w:spacing w:after="0" w:line="5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Our business and future success is highly dependent on our ability to obtain regulatory approval of and then successfully launch and commercialize our initial INDUKINE and INDUCER molecules, including our most advanced product candidates, WTX-124 and WTX-330.</w:t>
      </w:r>
    </w:p>
    <w:p>
      <w:pPr>
        <w:spacing w:after="0" w:line="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a clinical trial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clinical trial applications in other countries, including countries in the European Union.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may experience issues surrounding preliminary trial execution, such as delays in FDA acceptance of our INDs, revisions in trial design and finalization of trial protocols, difficulties with patient recruitment and enrollment, quality and provision of clinical supplies, or early safety signals.</w:t>
      </w:r>
    </w:p>
    <w:p>
      <w:pPr>
        <w:spacing w:after="0" w:line="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not permitted to market any biological product or drug product in the United States until we receive approval of a Biologics License Application, or BLA, or a new drug application, or NDA, from the FDA. We have not previously submitted a BLA or an NDA to the FDA, or similar marketing application to comparable foreign regulatory authorities. A BLA or an NDA must include extensive preclinical and clinical data and supporting information to establish that the product candidate is safe, pure and potent for each desired indication. A BLA or an NDA must also include significant information regarding the chemistry, manufacturing and controls for the product, and the manufacturing facilities must complete a successful pre-license inspection.</w:t>
      </w:r>
    </w:p>
    <w:p>
      <w:pPr>
        <w:spacing w:after="0" w:line="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FDA approval of a BLA or an NDA is not guaranteed, and the review and approval process is expensive and uncertain and may take several years. The FDA also has substantial discretion in the approval process. The number and types of preclinical studies and clinical trials that will be required for BLA or NDA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 that we develop based on the completed clinical trials.</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for many years, if ever, will depend heavily on our ability to successfully develop and commercialize WTX-124, WTX-330, our INDUCER molecules, and any future product candidates. The success of our product candidates will depend on several factors, including the following:</w:t>
      </w:r>
    </w:p>
    <w:p>
      <w:pPr>
        <w:spacing w:after="0" w:line="72" w:lineRule="exact"/>
        <w:rPr>
          <w:sz w:val="20"/>
          <w:szCs w:val="20"/>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clinical trials with favorable results;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by the FDA or similar regulatory filing by comparable foreign regulatory authorities for the conduct of clinical trials of our product candidates and our proposed design of future clinical trials;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marketing approvals from applicable regulatory authorities, including BLAs or NDAs from the FDA and maintaining such approvals;</w:t>
      </w:r>
    </w:p>
    <w:p>
      <w:pPr>
        <w:spacing w:after="0" w:line="122" w:lineRule="exact"/>
        <w:rPr>
          <w:rFonts w:ascii="Times New Roman" w:cs="Times New Roman" w:eastAsia="Times New Roman" w:hAnsi="Times New Roman"/>
          <w:sz w:val="17"/>
          <w:szCs w:val="17"/>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our third-party manufacturers for, or establishing, commercial manufacturing capabilities;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products following approval;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our products and technology.</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public concern regarding the safety of biopharmaceutical products could delay or limit our ability to obtain regulatory approval, result in the inclusion of unfavorable information in our labeling or require us to undertake other activities that may entail additional costs. We have not obtained FDA approval for any product. This lack of experience may impede our ability to obtain FDA approval in a timely manner, if at all, for WTX-124, WTX-330, our INDUCER molecules, or any future product candidates.</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success of our business, including our ability to finance our company and generate any revenue in the future, will primarily depend on the successful development, regulatory approval and commercialization of WTX-124, WTX-330, our INDUCER molecules, and any future product candidates, which may never occur. Given our early stage of development, it will be years before we are able to demonstrate the safety and efficacy of a treatment sufficient to warrant approval for commercialization, and we may never be able to do so. If we are unable to develop, or obtain regulatory approval for, or, if approved, successfully commercialize our current or any future product candidates, we may not be able to generate sufficient revenue to continue our business.</w:t>
      </w:r>
    </w:p>
    <w:p>
      <w:pPr>
        <w:spacing w:after="0" w:line="5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PREDATOR platform is unproven, and we do not know whether we will be able to develop any products of commercial value.</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discover, develop and commercialize products based on our novel PREDATOR platform. While we have had favorable preclinical study results related to WTX-124 and WTX-330, both of which we are developing by leveraging our PREDATOR platform, and have announced favorable early-stage clinical trial results related to WTX-124 and WTX-330, we have not yet succeeded and may not succeed in demonstrating efficacy and safety for any product candidates in clinical trials or in obtaining marketing approval thereafter. We have no assurance that our PREDATOR platform will be able to produce product candidates that will successfully progress from preclinical studies into</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clinical development and ultimately marketing approval. We have invested substantially all of our efforts and financial resources in building our PREDATOR platform and developing our initial INDUKINE and INDUCER molecules by leveraging our PREDATOR platform, and our future success is highly dependent on the continued successful development of our platform and product candidates that we develop by leveraging our platform. Because all of our product candidates are based upon our PREDATOR platform, any development problems we may experience in the future related to any of our product candidates has the potential to impact the development of our other product candidates and any such development problems have the potential to cause significant delays or unanticipated costs and may ultimately not be able to be solved.</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the clinical trial requirements of the FDA and other regulatory agencies and the criteria these regulators use to determine the safety and efficacy of a product candidate may vary according to the type, complexity, novelty and intended use and market of the potential products. The regulatory approval process for novel product candidates can be more expensive and take longer than for other, better known or extensively studied pharmaceutical or other product candidates. As a result, we may face a greater regulatory burden to initiate clinical trials or to obtain regulatory approval of our product candidates as compared to product candidates based on more established technology. In addition, any product candidates for which we may be able to obtain marketing approval may be subject to extensive post-approval regulatory requirements, including requirements pertaining to manufacturing, distribution and promotion. We may need to devote significant time and resources to compliance with these requirements.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Manufacturing INDUKINE and INDUCER molecules is subject to risk since they are a novel class of multi-domain biologics that include protease cleavable linkers, and they have never been produced on a commercial scale. We may be unable to manufacture INDUKINE or INDUCER molecules at the scale needed for late-stage clinical development and commercial production on a timely basis or at all, which would adversely affect our ability to conduct clinical trials and seek regulatory approvals or commercialize our programs, which would have an adverse effect on our business.</w:t>
      </w:r>
    </w:p>
    <w:p>
      <w:pPr>
        <w:spacing w:after="0" w:line="7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manufacturing cell line currently in use, and any future cell line that may be used, to manufacture multi-domain proteins that include our protease cleavable linkers presents a risk that unintended proteolysis may occur during the manufacture of INDUKINE or INDUCER molecules and that undesired fragments may not be able to be sufficiently removed by the purification process. The novel multi-domain composition of INDUKINE and INDUCER molecules may present a risk due to their complexity and challenges inherent to the manufacture of biologics. As a result, the risk of delays or failure in the manufacture of our INDUKINE and INDUCER molecules is high. Additionally, each INDUKINE and INDUCER molecule that we may develop is unique, from a manufacturing perspective, so any learnings from the manufacture of other INDUKINE or INDUCER molecules may not apply to the manufacture of new INDUKINE or INDUCER molecules. Before commencing clinical trials for new product candidates, the manufactured INDUKINE and INDUCER molecules must complete extensive analytical testing and be qualified for use in human studies. We cannot be certain of the timely completion or outcome of our analytical testing and suitability for human studies and cannot predict if the FDA or other regulatory authorities will accept our proposed clinical material or if the outcome of our analytical testing will ultimately support the further development of future programs or clinical trials. As a result, we cannot be sure that we will be able to submit INDs or similar applications for any future clinical programs on the timelines we expect, if at all, and we cannot be sure that the submission of INDs or similar applications will result in the FDA or other regulatory authorities allowing future clinical trials to begin. In addition, we cannot be certain that we will be able to produce product candidates at the scale required for our clinical trials and, for any approved products, commercial production on a timely basis or at all, which could also have an adverse effect on our business.</w:t>
      </w:r>
    </w:p>
    <w:p>
      <w:pPr>
        <w:spacing w:after="0" w:line="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chosen to initially develop our lead product candidates, WTX-124 and WTX-330, for the treatment of advanced solid tumors and the treatment of relapsed or refractory advanced or metastatic tumors or lymphoma, respectively. Nevertheless, our development efforts will be limited to a small number of cancer types and we may forego or delay pursuit of opportunities in other cancer types that may prove to have greater potential. Likewise, we may forego or delay the pursuit of opportunities with other potential product candidates that may prove to have greater commercial potential.</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similar arrangements in cases in which it would have been more advantageous for us to retain sole development and commercialization rights to the product candidate.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Risk of failure for preclinical product candidates is high. Before we can commence clinical trials for our preclinical product candidates, we must complete extensive preclinical testing and studies that support INDs in the United States, or similar applications in other jurisdictions. We cannot be certain of the timely completion or outcome of our preclinical testing and studies and cannot predict if the FDA or other regulatory authorities will accept our proposed clinical programs or if the outcome of our preclinical testing and studies will ultimately support the further development of our programs. As a result, we cannot be sure that we will be able to successfully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and difficult to design and implement, and involve uncertain outcomes. Furthermore, results of earlier preclinical studies and clinical trials may not be predictive of results of future preclinical studies or clinical trials.</w:t>
      </w:r>
    </w:p>
    <w:p>
      <w:pPr>
        <w:spacing w:after="0" w:line="5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risk of failure for our current and any future product candidates is high. It is impossible to predict when or if any of our future product candidates will successfully complete preclinical studies, or if any of our current or future product candidates will complete clinical trials evaluating their safety and effectiveness in humans or will ultimately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Preclinical and clinical testing is expensive and can take many years to complete, and the outcome is inherently uncertain. Failure can occur at any time during the preclinical or clinical trial process. The outcome of preclinical testing and early clinical trials may not be predictive of the results of later clinical trials, and interim results of a clinical trial do not necessarily predict final results. In particular, while we have conducted certain preclinical studies of WTX-124 and WTX-330 and have entered early clinical stage development, we do not know whether either of these product candidates will perform in our clinical trials as it has performed in these prior preclinical studies. Similarly, there can be no assurance that interim or preliminary clinical data or results, including, without limitation, the Phase 1/1b clinical data reported for WTX-124 and Phase 1 clinical data reported for WTX-330, will be predictive of future clinical data or results, and there can be no assurance that success in early clinical trials will lead to success in later clinical trials. 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we fail to produce positive results in our planned preclinical studies or clinical trials of any of our product candidates, the development timeline and regulatory approval and commercialization prospects for our product candidates, and, correspondingly, our business and financial prospects, would be materially and adversely affected.</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the commencement or completion, or termination or suspension, of our clinical trials, which could result in increased costs to us, delay or limit our ability to generate revenue and adversely affect our commercial prospects.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 for its intended indications. We cannot guarantee that any clinical trials will be conducted as planned or completed on schedule, if at all. We may experience numerous unforeseen events during or as a result of clinical trials that could delay or prevent our ability to receive marketing approval or commercialize our current or future product candidates, including:</w:t>
      </w:r>
    </w:p>
    <w:p>
      <w:pPr>
        <w:spacing w:after="0" w:line="72" w:lineRule="exact"/>
        <w:rPr>
          <w:sz w:val="20"/>
          <w:szCs w:val="20"/>
          <w:color w:val="auto"/>
        </w:rPr>
      </w:pPr>
    </w:p>
    <w:p>
      <w:pPr>
        <w:ind w:left="960" w:hanging="398"/>
        <w:spacing w:after="0" w:line="276"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be unable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obtain regulatory authorizations to commence a clinical trial;</w:t>
      </w:r>
    </w:p>
    <w:p>
      <w:pPr>
        <w:spacing w:after="0" w:line="55"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issues in reaching a consensus with regulatory authorities on trial design;</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960" w:hanging="398"/>
        <w:spacing w:after="0" w:line="259"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7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may deviate from a trial protocol or drop out of a trial or fail to conduct the trial in accordance with regulatory requirements;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our product candidates may be larger than we anticipate or subjects may fail to enroll or remain in clinical trials at the rate we expect;</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that enroll in our studies may misrepresent their eligibility or may otherwise not comply with the clinical trial protocol, resulting in the need to drop the subject from the trial, increase the needed enrollment size for the clinical trial or extend its duration;</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may choose an alternative treatment for the indication for which we are developing our product candidates, or participate in competing clinical trials;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may experience severe or unexpected drug-related adverse effects;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unfavorable, inconclusive, or clinically insignificant results;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or regulators or IRBs or ethics committees may require us to, make changes to a clinical trial protocol or conduct additional preclinical studies or clinical trials, or we may decide to abandon product development programs;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add new or additional clinical trial sites;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our product candidates or conducting clinical trials on our behalf, may fail to comply with regulatory requirements or meet their contractual obligations to us in a timely manner, or at all;</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and any changes to manufacturing processes or third party contractors that may be necessary or desired could result in other delays;</w:t>
      </w:r>
    </w:p>
    <w:p>
      <w:pPr>
        <w:spacing w:after="0" w:line="57" w:lineRule="exact"/>
        <w:rPr>
          <w:rFonts w:ascii="Times New Roman" w:cs="Times New Roman" w:eastAsia="Times New Roman" w:hAnsi="Times New Roman"/>
          <w:sz w:val="18"/>
          <w:szCs w:val="18"/>
          <w:color w:val="auto"/>
        </w:rPr>
      </w:pPr>
    </w:p>
    <w:p>
      <w:pPr>
        <w:ind w:left="960" w:right="20" w:hanging="39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 party contractors may experience delays due to complications associated with public health crises such as the COVID-19 pandemic;</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testing and studies and clinical trials of any product candidates may be greater than we anticipate or greater than our available financial resources;</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we may not be able to obtain sufficient quantities of combination therapies for use in clinical trials;</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may arise from preclinical or clinical testing of other cancer therapies that raise safety or efficacy concerns about our product candidates; and</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the clinical trials and testing that we contemplate, if we are unable to successfully complete clinical trials or other testing of our product candidates, if the results of these clinical trials or tests are unfavorable or are only modestly favorable or if there are safety concerns associated with any of product candidates, we may:</w:t>
      </w:r>
    </w:p>
    <w:p>
      <w:pPr>
        <w:spacing w:after="0" w:line="72" w:lineRule="exact"/>
        <w:rPr>
          <w:sz w:val="20"/>
          <w:szCs w:val="20"/>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unplanned costs;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suspend or terminate ongoing clinical trials;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if at all;</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39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modified risk evaluation and mitigation strategy, or REMS;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lawsuits; or</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as well as political and economic risks relevant to such foreign countries.</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 For example, in December 2022 with the passage of the Food and Drug Omnibus Reform Act of 2022,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Similarly, the regulatory landscape related to clinical trials in the European Union, or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adapt to these and other changes in existing requirements or the adoption of new requirements or policies governing clinical trials, our development plans may be impacted.</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the factors above, we may make formulation or manufacturing changes to our product candidates, in which case we may need to conduct additional preclinical studies to bridge our modified product candidates to earlier versions, which may be costly, time consuming and may not be successful at all.</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failure to successfully initiate and complete clinical trials of our product candidates and to demonstrate the efficacy and safety necessary to obtain regulatory approval to market any of our product candidates would significantly harm our business. We cannot provide assurances that our clinical trials will begin as planned or be completed on schedule, if at all, or that we will not need to restructure our clinical trials. Significant preclinical study or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which may harm our business and results of operations. In addition, many of the factors that cause, or lead to, delays of clinical trials may ultimately lead to the denial of regulatory approval of our product candidates.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clinical development activities could be delayed or otherwise adversely affected.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53" w:lineRule="exact"/>
        <w:rPr>
          <w:sz w:val="20"/>
          <w:szCs w:val="20"/>
          <w:color w:val="auto"/>
        </w:rPr>
      </w:pPr>
    </w:p>
    <w:p>
      <w:pPr>
        <w:ind w:left="960" w:hanging="39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the inclusion and exclusion criteria defined in the protocol;</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health of the patient population required for analysis of the trial’s primary endpoints;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 including any new drugs that may be approved for the indications we are investigating;</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monitor patients adequately during and after treatment;</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and</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including the impacts of public health crises such as the COVID-19 pandemic, which may limit the availability of patients, principal investigators or staff or clinical sites.</w:t>
      </w:r>
    </w:p>
    <w:p>
      <w:pPr>
        <w:spacing w:after="0" w:line="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might require us to abandon one or more clinical trials altogether. Enrollment delays in our clinical trials may result in increased development costs for our product candidates, slow down or halt our product candidate development and approval process and jeopardize our ability to seek and obtain the marketing approval required to commence product sales and generate revenue, which would cause the value of our company to decline and limit our ability to obtain additional financing, if needed.</w:t>
      </w:r>
    </w:p>
    <w:p>
      <w:pPr>
        <w:spacing w:after="0" w:line="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or unexpectedly severe side effects that could delay or prevent their regulatory approval, limit the commercial profile of an approved label, or result in significant negative consequences following marketing approval, if any.</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Undesirable or unexpectedly severe side effects caused by our product candidates could cause us to interrupt, delay or halt preclinical studies or could cause us or regulatory authorities to interrupt, delay or halt clinical trials and could result in a more restrictive label or the delay or denial of regulatory approval by the FDA or comparable foreign regulatory authorities. It is likely that, as is the case with many treatments for cancer, there may be side effects associated with the use of our product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by design, clinical trials rely on a sample of the potential patient population. With a limited number of patients and limited duration of exposure, rare and severe side effects of our product candidates may only be uncovered when a significantly larger number of patients is exposed to the product candidate. If our product candidates receive marketing approval and we 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others identify undesirable side effects caused by such product candidates after such approval, a number of potentially significant negative consequences could result, including:</w:t>
      </w:r>
    </w:p>
    <w:p>
      <w:pPr>
        <w:spacing w:after="0" w:line="57" w:lineRule="exact"/>
        <w:rPr>
          <w:sz w:val="20"/>
          <w:szCs w:val="20"/>
          <w:color w:val="auto"/>
        </w:rPr>
      </w:pPr>
    </w:p>
    <w:p>
      <w:pPr>
        <w:ind w:left="960" w:hanging="39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product candidates are distributed or administered, conduct additional clinical trials or change the labeling of the product candidates;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product candidates;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product candidates from the marketplace;</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 candidates;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reputational harm.</w:t>
      </w:r>
    </w:p>
    <w:p>
      <w:pPr>
        <w:spacing w:after="0" w:line="1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developing WTX-124, and could potentially develop WTX-330 and future product candidates, in combination with third-party drugs, some of which may still be in development, and we will have limited or no control over the safety, supply, regulatory status or regulatory approval of such drugs.</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developing WTX-124, and could potentially develop WTX-330 and other future product candidates, in combination with third-party cancer drugs, which may be either approved or unapproved. For example, we are conducting a clinical trial of WTX-124 both as monotherapy and in combination with pembrolizumab. Our ability to develop and ultimately commercialize our current product candidates, and any future product candidates, used in combination with third-party drugs will depend on our ability to access such drugs on commercially reasonable terms for clinical trials and their availability for use with our commercialized product, if approved. We cannot be certain that current or potential future commercial relationships will provide us with a steady supply of such drugs on commercially reasonable terms or at all. Any failure to maintain or enter into new successful commercial relationships, or the expense of purchasing such third-party drugs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or prospects may be materially harmed.</w:t>
      </w:r>
    </w:p>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For example, our clinical trial for WTX-124 in combination with pembrolizumab may result in adverse events based on the combination therapy that may negatively impact the reported safety profile of the monotherapy in such clinical trials. Checkpoint inhibitors have been shown to have adverse events, including immune-related adverse events involving the lung, liver and other organ systems, which may limit the maximum dose in our clinical trials or otherwise negatively impact our combination clinical trials. In addition, the FDA or comparable 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third-party drug and not our product candidate. Developments related to the third-party drug may also impact our clinical trials for the combination as well as our commercial prospects should we receive regulatory approval. Such developments may include changes to the third-party drug’s safety or efficacy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profile, changes to the availability of the third-party drug, quality, and manufacturing and supply issues with respect to the third-party drug.</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are able to obtain marketing approval, the FDA or comparable foreign regulatory authorities may require that products used in conjunction with each other be cross labeled for combined use. To the extent that we do not have rights to the third-party drug, this may require us to work with such third party to satisfy such a requirement. We would also continue to be subject to the risks that the FDA or comparable foreign regulatory authorities could revoke approval of the third-party drug used in combination with our product candidate or that safety, efficacy, manufacturing or supply issues could arise with such drug. Similarly, if the third-party drugs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Although we intend to explore other therapeutic opportunities in addition to the product candidates that we are currently developing, we may fail to identify or discover viable new product candidates for clinical development for a number of reasons. If we fail to identify additional potential product candidates, our business could be materially harmed.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4" w:lineRule="exact"/>
        <w:rPr>
          <w:sz w:val="20"/>
          <w:szCs w:val="20"/>
          <w:color w:val="auto"/>
        </w:rPr>
      </w:pPr>
    </w:p>
    <w:p>
      <w:pPr>
        <w:ind w:left="960" w:hanging="39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product candidates;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after further study, be shown to have harmful adverse effects or other characteristics that indicate they are unlikely to be effective drugs; or</w:t>
      </w:r>
    </w:p>
    <w:p>
      <w:pPr>
        <w:spacing w:after="0" w:line="57"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current product candidates or to develop suitable additional product candidates through internal research programs, which could materially adversely affect our future growth and prospects.</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following commercial sale, and any product liability insurance we may obtain may not cover all damages from such claims.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exposed to potential product liability risks that are inherent in the research, development, manufacturing, marketing and use of biopharmaceutical products. The use of product candidates by us in clinical trials, and any sale of approved products in the future, may expose us to liability claims.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thereof, we may be exposed to substantial liabilities. Physicians and patients may not comply with any warnings that identify known potential adverse effects and patients who should not use our product candidates. If we cannot successfully defend ourselves against product liability claims, we may incur substantial liabilities or be required to limit or cease the development or commercialization of our product candidates or any products for which we may have received marketing approval.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960" w:hanging="39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trials;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difficulties in recruiting new trial participants;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39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or settle the related litigation;</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financial impact;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will seek to procure and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materially harmed.</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and we may lack the necessary expertise, personnel and resources to successfully commercialize any products that receive regulatory approval, either on our own or together with collaborators.</w:t>
      </w:r>
    </w:p>
    <w:p>
      <w:pPr>
        <w:spacing w:after="0" w:line="5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never commercialized a product candidate. We currently have no sales force or marketing or distribution capabilities. To achieve commercial success of our product candidates, if any are approved, we will have to develop our own sales, marketing and supply capabilities or outsource these activities to one or more third parties.</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Factors that may affect our ability to commercialize our product candidates on our own include our ability to recruit and retain adequate numbers of effective sales and marketing personnel and obtain access to or persuade adequate numbers of physicians to prescribe our product candidates, as well as any unforeseen costs we may incur in connection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To the extent we need to rely upon one or more third parties, we may have little or no control over the marketing and sales efforts of those third parties and our revenue from product sales may be lower than if we had commercialized our product candidates ourselves. We will also face competition in any search for third parties to assist us with sales and marketing efforts for our product candidates. If we are unable to build our own distribution and marketing capabilities or to find suitable partners for the commercialization of our product candidates, we may have difficulties generating revenue from them.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substantial competition, which may result in others discovering, developing or commercializing products before or more successfully than we do.</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immunotherapies for the treatment of cancer. There are other companies working to develop immunotherapies for the treatment of cancer including divisions of pharmaceutical and biotechnology companies of various sizes. Some of these competitive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developing our initial product candidates for the treatment of cancer and have not received marketing approval for any of our product candidates. There are already a variety of available therapies marketed for cancer and some of the currently approved therapies are branded and subject to patent protection, and others are available on a generic basis. Many of these approved therapies are well-established and widely accepted by physicians, patients and third-party payors. Insurers and other third-party payors may also encourage the use of generic products. We expect that if our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with advances in the commercial applicability of technologies and greater availability of capital for investment in these industries.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are aware of a number of companies that are developing cytokines as immunotherapies, as well as different modalities, including monoclonal antibodies, cell therapies, oncolytic viruses and vaccines.</w:t>
      </w:r>
    </w:p>
    <w:p>
      <w:pPr>
        <w:spacing w:after="0" w:line="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lead product candidate, WTX-124, if approved, may face competition from other Interleukin-2, or IL-2, based cancer therapies. Proleukin (aldesleukin) has been approved and is marketed for the treatment of both metastatic renal cell carcinoma and metastatic melanoma. In addition, we are aware of numerous clinical and preclinical IL-2 molecules using different platforms being developed for oncology indications, including programs from Anaveon AG, Anwita Biosciences, Inc., Ascendis Pharma A/S, Asher Biotherapeutics, Inc., Aulos Bioscience, Inc., BioNTech SE, Cue Biopharma, Inc., DEKA Biosciences, Inc., DragonFly Therapeutics, Inc., Merck &amp; Co., Inc., Medicenna Therapeutics Corp., F. Hoffmann-La Roche AG, Synthekine, Inc., Teva Pharmaceutical Industries Ltd., and Xilio Therapeutics, Inc.</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no approved IL-12 therapies currently on the market for the treatment of cancer. However, if approved, WTX-330 may face competition from other IL-12 cytokine programs in clinical and preclinical development for oncology indications, including programs from DEKA Biosciences, Inc., DragonFly Therapeutics, Inc., IMUNON, Juno Therapeutics, Inc. (Bristol-Myers Squibb Company), OncoSec Medical Incorporated, PDS Biotechnology, Philogen S.p.A., Sonnet BioTherapeutics, Inc., Strand Therapeutics Inc., Turnstone Biologics Corp. (partnered with Takeda Pharmaceutical Company Limited), Xilio Therapeutics, Inc., and Zymeworks Inc.</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competitors may succeed in developing, acquiring or licensing, on an exclusive basis, products that are safer, more effective, have fewer or less severe side effects, are more convenient or are less expensive than any products that we may develop. We also compete with these organizations in establishing clinical trial sites and patient registration for clinical trials, as well as in recruiting and retaining qualified scientific and management personnel, which could negatively affect our level of expertise and our ability to execute our business plan.</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Many of our competitors, either alone or with their collaborators, have significantly greater financial resources and expertise in research and development, manufacturing, preclinical and clinical testing, obtaining regulatory approvals and reimbursement and marketing approved products than we do. Established pharmaceutical companies may invest heavily to accelerate discovery and development of novel product candidates or to in-license novel product candidates that could make our product candidates less competitive or obsolete. Smaller or early-stage companies may also prove to be significant competitors, including through collaborative arrangements with large and established companies. In addition, any new product that competes with an approved product must demonstrate compelling advantages in efficacy, convenience, tolerability and safety in order to overcome price competition and to be commercially successful. The availability of competing products could limit the demand and the price we are able to charge for product candidates we commercialize, if any. The inability to compete with existing or subsequently introduced drugs would harm our business, financial condition and results of operations.</w:t>
      </w:r>
    </w:p>
    <w:p>
      <w:pPr>
        <w:spacing w:after="0" w:line="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sizes of the potential markets for our product candidates are difficult to estimate and, if any of our assumptions are inaccurate, the actual markets for our product candidates may be smaller than our estimates.</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and, if our product candidates are approved, will ultimately depend on, among other things, the indications for which our product candidates are approved for sale, any drugs with which our product candidates are co-administered, the success of competing therapies and therapeutic approaches, acceptance by the medical community, patient access, product pricing and reimbursement. Our estimates of the potential market opportunities for our product candidates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 independent source. If any of the assumptions proves to be inaccurate, the actual markets for our product candidates could be smaller than our estimates of the potential market opportunities.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will depend in part on the extent to which we obtain and maintain favorable coverage, adequate reimbursement levels and pricing policies with third party payors.</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third-party payors, including governmental healthcare programs such as Medicare and Medicaid, managed care organizations, and private health insurers, are essential for most patients to be able to afford prescription medications such as our product candidates, if approved. Our ability to achieve acceptable levels of coverage and reimbursement for products by third-party payors will have an effect on our ability to successfully commercialize our product candidates. We cannot be sure that coverage and reimbursement in the United States, the European Union or elsewhere will be available for our product candidates, if approved, or any product that we may develop, and any reimbursement that may become available may be decreased or eliminated in the future.</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substitutable and only offer to reimburse patients for the less expensive product.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approved. Even if our product candidates are approved and we obtain coverage for our product candidates by a third-party payor, the resulting reimbursement payment rates may not be adequate or may require co-payments that patients find unacceptably high. Interim reimbursement levels for new medicines, if applicable, may also not be sufficient to cover our costs and may not be made permanent.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If reimbursement is not available or is available only at limited levels, we may not be able to successfully commercialize our product candidates, if approved, and may not be able to obtain a satisfactory financial return on our product candidates.</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The regulations that govern marketing approvals, pricing and reimbursement for new medicines vary widely from country to country. In the United States, third-party payors play an important role in determining the extent to which new drugs and biologics will be covered. The Medicare and Medicaid programs increasingly are used as models in the United States for how third-party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 this time what third-party payors will decide with respect to the coverage and reimbursement for our product candidates, if approved.</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No uniform policy for coverage and reimbursement for products exists among third-party payors in the United States. Therefore, coverage and reimbursement for products can differ significantly from payor to payor and coverage and reimbursement by one payor does not guarantee coverage and reimbursement by another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we develop receives marketing approval, it may fail to achieve the degree of market acceptance by physicians, patients, hospitals, cancer treatment centers, third-party payors and others in the medical community necessary for commercial success.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any product candidate we develop receives marketing approval, whether as a single agent or in combination with other therapies, it may nonetheless fail to gain sufficient market acceptance by physicians, patients, hospitals, cancer treatment centers, third-party payors, and others in the medical community. For example, cancer treatments like chemotherapy, radiation therapy and certain existing immunotherapies are well established in the medical community, and doctors may continue to rely on these therapies. If the product candidates we develop do not achieve an adequate level of acceptance, we may not generate significant product revenues and we may not become profitable.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any product, if approved for commercial sale, will depend on a number of factors, including:</w:t>
      </w:r>
    </w:p>
    <w:p>
      <w:pPr>
        <w:spacing w:after="0" w:line="111" w:lineRule="exact"/>
        <w:rPr>
          <w:sz w:val="20"/>
          <w:szCs w:val="20"/>
          <w:color w:val="auto"/>
        </w:rPr>
      </w:pPr>
    </w:p>
    <w:p>
      <w:pPr>
        <w:ind w:left="960" w:hanging="39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efficacy, safety and potential advantages compared to alternative treatments;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 novel treatment and of physicians to prescribe such treatments;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with respect to the product in guidelines published by scientific organizations;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insurance coverage and adequate reimbursement, including, if applicable, with respect to the use of the product as a combination therapy;</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 and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39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we obtain marketing approval for a product but such product does not achieve an adequate level of market acceptance, we may not generate or derive significant revenue from that product and our business, financial condition and results of operations may be adversely affected.</w:t>
      </w:r>
    </w:p>
    <w:p>
      <w:pPr>
        <w:spacing w:after="0" w:line="53"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expect that WTX-124 and WTX-330, and other product candidates we develop, will be regulated as biological products, or biologics, and therefore they may be subject to competition sooner than anticipated.</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 products that are biosimilar to or interchangeable with an FDA-licensed reference biologic product. Under the BPCIA, a reference biological product is granted 12 years of non-patent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biosimilar competition sooner than anticipated.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competitors are able to obtain regulatory approval for biosimilars referencing our product candidates, our product candidates may become subject to competition from such biosimilars, with the attendant competitive pressure and consequences.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preclinical studies and clinical trials. If these third parties do not successfully carry out their contractual duties or meet expected deadlines or comply with regulatory requirements, we may not be able to obtain regulatory approval of or commercialize any product candidates.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depend, and expect to continue to depend, upon third parties, including independent investigators and contract research organizations, or CROs, to conduct preclinical studies and clinical trials. We expect to have to negotiate budgets and contracts with CROs and trial sites, and any of these third parties may terminate their engagements with us at any time, any of which may result in delays to our development timelines and increased costs.</w:t>
      </w:r>
    </w:p>
    <w:p>
      <w:pPr>
        <w:spacing w:after="0" w:line="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responsibility to ensure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current Good Clinical Practices, or cGCP, requirements for clinical trials, which are regulations and guidelines enforced by the FDA and comparable foreign regulatory authorities for product candidates in clinical development. Regulatory authorities enforce these cGCP requirements through periodic inspections of trial sponsors, clinical investigators and trial sites. If we or any of these third parties fail to comply with applicable cGCP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cGCP requirements. In addition, our clinical trials must be conducted with biologic product produced under current Good Manufacturing Practice, or cGMP, requirements.</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failure or any failure by these third parties to comply with the applicable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that may be available to us under our agreements with such third parties, we cannot control whether or not they devote sufficient time and resources to our clinical trials. These third parties may also have relationships with other commercial entities, including our competitors, for whom they may also be conducting clinical trials or other product development activities, which could affect their performance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could materially impact our ability to meet our desired clinical development timelines. Though we plan to carefully manage our relationships with CROs, there can be no assurance that we will not encounter challenges or delays in the future or that these delays or challenges will not have a material adverse impact on our business, financial condition and prospects.</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of biologics is complex and we do not have our own clinical manufacturing capabilities. We will rely on third parties to produce preclinical, clinical and commercial supplies of all current and any future product candidates.</w:t>
      </w:r>
    </w:p>
    <w:p>
      <w:pPr>
        <w:spacing w:after="0" w:line="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To date, we have produced limited quantities of our product candidates at our own facilities for preclinical evaluation. However, going forward we will rely on third-party contract manufacturers to manufacture some of our preclinical supply and all of our clinical trial supply. We do not own manufacturing facilities capable of producing drug products at clinical scale. We have in the past experienced delays in receiving preclinical product supplies from third-party manufacturers and there can be no assurance that our preclinical and clinical development product supplies from third parties will not in the future be limited or interrupted, or be of satisfactory quality or continue to be available at acceptable prices. Additionally, the process of manufacturing biologics is complex, highly 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other supply disruptions and higher costs. If microbial, viral or other contaminations are discovered at the facilities of our contract manufacturing organizations, or CMOs, such facilities may need to be closed for an extended period of time to investigate and remedy the contamination, which could delay clinical trials, result in higher costs of drug product and adversely affect our business.</w:t>
      </w:r>
    </w:p>
    <w:p>
      <w:pPr>
        <w:spacing w:after="0" w:line="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engaged CMOs to provide certain services to support our clinical and preclinical development. Pursuant to the terms of separate contract manufacturing services agreements, we have engaged one CMO to provide drug substance manufacturing process development and to manufacture WTX-124 and WTX-330 drug substance to cGMP specifications for use in the further manufacture of clinical supply and a second CMO to provide drug product manufacturing process development and to manufacture clinical supply of WTX-124 and WTX-330 vialled drug product to cGMP specifications. To support the manufacture of drug substance and drug product, our CMOs will conduct substantial analytical testing of drug substance and vialled drug product. If our CMOs are unable to supply us with sufficient clinical grade quantities of WTX-124 or WTX-330, and we are unable to timely establish an alternate supply from one or more third-party contract manufacturers, we will experience delays in our development efforts as we seek to locate and qualify new manufacturers. In particular, any replacement of our CMOs could require significant effort and expertise because there may be a limited number of qualified replacements or capacity could be limited at each of the qualified replacements. Additionally, contract manufacturers may rely on single source suppliers for certain of the raw materials for our preclinical and clinical product supplies. If current or future suppliers are delayed or unable to supply sufficient raw materials to manufacture product for our preclinical studies and clinical trials, we may experience delays in our development efforts as materials are obtained or we locate and qualify new raw material manufacturers. Further, for our combination clinical trial of WTX-124 with pembrolizumab, an immune checkpoint inhibitor, we will need to procure supply of pembrolizumab for use in the clinical trials. If we are unable to procure sufficient supply from third-party manufacturers or other sources, we may be required to purchase our supply of checkpoint inhibitors on the open market, which may result in significant additional expense.</w:t>
      </w:r>
    </w:p>
    <w:p>
      <w:pPr>
        <w:spacing w:after="0" w:line="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manufacturing process for a clinical candidate is subject to FDA and foreign regulatory authority review. Suppliers and manufacturers must meet applicable manufacturing requirements and undergo rigorous facility and process validation tests required by regulatory authorities in order to comply with their standards, such as cGMPs. In the event that any of our CMOs fail to comply with such requirements or to perform their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The transfer of the manufacturing of biologic products to a new CMO and any additional process development that may be necessary can be lengthy and involve significant additional costs. If we are required to change CMOs for any reason, we will be required to verify that the new CMO maintains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facilities and procedures that comply with quality standards and with all applicable regulations and guidelines. The delays associated with the verification of a new CMO would negatively affect our ability to develop product candidates in a timely manner or within budget.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our reliance on third-party manufacturers exposes us to risks beyond our control, including the:</w:t>
      </w:r>
    </w:p>
    <w:p>
      <w:pPr>
        <w:spacing w:after="0" w:line="111" w:lineRule="exact"/>
        <w:rPr>
          <w:sz w:val="20"/>
          <w:szCs w:val="20"/>
          <w:color w:val="auto"/>
        </w:rPr>
      </w:pPr>
    </w:p>
    <w:p>
      <w:pPr>
        <w:ind w:left="960" w:hanging="39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drug specifications and quality requirements consistently;</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initiate or continue preclinical studies or clinical trials of product candidates under development;</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drug quality issues, including related to scale-up of manufacturing;</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cGMP and similar foreign standards;</w:t>
      </w:r>
    </w:p>
    <w:p>
      <w:pPr>
        <w:spacing w:after="0" w:line="111"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limited number of sources, and in some cases, single sources for drug components and raw materials, such that if we are unable to secure a sufficient supply of these drug components and raw materials, we will be unable to manufacture and sell our future product candidate in a timely fashion, in sufficient quantities or under acceptable terms;</w:t>
      </w:r>
    </w:p>
    <w:p>
      <w:pPr>
        <w:spacing w:after="0" w:line="7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those components and raw materials that are purchased from a sole or single source supplier;</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agreements with third parties under commercially reasonable terms;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operations by conditions unrelated to our business or operations, including the bankruptcy of the manufacturer or supplier or the issuance of an FDA Form 483 notice or warning letter, or as a result of the effects of the COVID-19 pandemic on third-party manufacturers;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Some of these events could be the basis for FDA action, including injunction, recall, seizure or total or partial suspension of production, any of which could result in a failure to begin our clinical trials or having to stop ongoing clinical trials. In addition, our CMOs and suppliers are subject to FDA inspection from time to time. Failure by our CMOs and suppliers to pass such inspections and otherwise satisfactorily complete the FDA approval regimen with respect to our product candidate may result in regulatory actions such as the issuance of FDA Form 483 notices of observations, warning letters or injunctions or the loss of operating licenses. In addition, our CMOs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the regulatory action, our clinical or commercial supply of drug and packaging and other services could be interrupted or limited, which could harm our business.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CMOs are or may be engaged with other companies to supply and manufacture materials or products for such companies, which also exposes our suppliers and CMOs to regulatory risks for the production of such materials and products. As a result, failure to meet the regulatory requirements for the production of those materials and products may also affect the regulatory clearance of a contract supplier’s or CMO’s facility, which could impact the contract supplier’s or CMO’s ability to manufacture drug product for us.</w:t>
      </w:r>
    </w:p>
    <w:p>
      <w:pPr>
        <w:spacing w:after="0" w:line="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seek to enter into, collaborations or other similar arrangements for our product candidates. If we are unable to enter into such collaborations, or if these collaborations are not successful, our business could be adversely affected.</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deemed appropriate, enter into collaborations in the future on an asset-by-asset basis to maximize the value of each of our programs. For example, in April 2022, we entered into a Collaboration and License Agreement, or the Collaboration Agreement, with Jazz Pharmaceuticals Ireland Limited, or Jazz, pursuant to which we granted Jazz certain licenses to develop and commercialize products containing our Interferon alpha, or IFNα, INDUKINE molecule, JZP898, as well as products containing certain isolated recombinant polypeptides comprising IFNα that meet specified criteria. Although we terminated the Collaboration Agreement in May 2026, we may also enter into other collaborations in connection with our platform technology in order to advance the development of programs beyond our initial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focus in cytokines. Such collaborations may include the development and commercialization of any of our product candidates or the commercialization of any of our product candidates that are approved for marketing outside the United States. Our likely collaborators for any collaboration arrangements include large and mid-size pharmaceutical companies, regional and national pharmaceutical companies and biotechnology companies. We have limited capabilities for product development and do not yet have any capability for commercialization. Accordingly, we may enter into collaborations with other companies to provide us with important technologies and funding for our programs and platform technology. We will face significant competition in seeking appropriate collaborators. We may not be successful in our efforts to establish a strategic partnership or other alternative arrangements for any product candidates because they may be deemed to be at too early of a stage of development for collaborative effort and third parties may not view such product candidates as having the requisite potential to demonstrate safety and efficacy. We may also be restricted under future license agreements from entering into agreements on certain terms or at all with potential collaborators.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and future collaborations involving our product candidates may pose significant risks to us, including the following:</w:t>
      </w:r>
    </w:p>
    <w:p>
      <w:pPr>
        <w:spacing w:after="0" w:line="111" w:lineRule="exact"/>
        <w:rPr>
          <w:sz w:val="20"/>
          <w:szCs w:val="20"/>
          <w:color w:val="auto"/>
        </w:rPr>
      </w:pPr>
    </w:p>
    <w:p>
      <w:pPr>
        <w:ind w:left="960" w:hanging="39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1"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7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7"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1" w:lineRule="exact"/>
        <w:rPr>
          <w:rFonts w:ascii="Times New Roman" w:cs="Times New Roman" w:eastAsia="Times New Roman" w:hAnsi="Times New Roman"/>
          <w:sz w:val="18"/>
          <w:szCs w:val="18"/>
          <w:color w:val="auto"/>
        </w:rPr>
      </w:pPr>
    </w:p>
    <w:p>
      <w:pPr>
        <w:ind w:left="960" w:right="20" w:hanging="39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7" w:lineRule="exact"/>
        <w:rPr>
          <w:rFonts w:ascii="Times New Roman" w:cs="Times New Roman" w:eastAsia="Times New Roman" w:hAnsi="Times New Roman"/>
          <w:sz w:val="18"/>
          <w:szCs w:val="18"/>
          <w:color w:val="auto"/>
        </w:rPr>
      </w:pPr>
    </w:p>
    <w:p>
      <w:pPr>
        <w:ind w:left="960" w:right="20" w:hanging="39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collaborator’s sales and marketing activities or other operations may not be in compliance with applicable laws resulting in civil or criminal proceedings;</w:t>
      </w:r>
    </w:p>
    <w:p>
      <w:pPr>
        <w:spacing w:after="0" w:line="57" w:lineRule="exact"/>
        <w:rPr>
          <w:rFonts w:ascii="Times New Roman" w:cs="Times New Roman" w:eastAsia="Times New Roman" w:hAnsi="Times New Roman"/>
          <w:sz w:val="18"/>
          <w:szCs w:val="18"/>
          <w:color w:val="auto"/>
        </w:rPr>
      </w:pPr>
    </w:p>
    <w:p>
      <w:pPr>
        <w:jc w:val="both"/>
        <w:ind w:left="960" w:hanging="398"/>
        <w:spacing w:after="0" w:line="255"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in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4"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7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1"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spacing w:after="0" w:line="7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were to be involved in a business combination, the continued pursuit and emphasis on our product development or commercialization program could be delayed, diminished or terminated; and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960" w:hanging="398"/>
        <w:spacing w:after="0" w:line="259"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including for the convenience of the collaborator, and, if terminated, we may find it more difficult to enter into future collaborations or be required to raise additional capital to pursue further development or commercialization of the applicable product candidates.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collaborations that we enter into may not be successful. The success of our collaboration arrangements will depend heavily on the efforts and activities of our collaborators. Collaboration agreements may not lead to development or commercialization of product candidates in the most efficient manner or at all. In addition, all of the risks relating to product development, regulatory approval and commercialization described in this Quarterly Report will apply to the activities of any of our collaborators.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product candidates we develop or for our PREDATOR platform and other proprietary technologies we may develop, or if the scope of the patent protection obtained is not sufficiently broad, our competitors could develop and commercialize product candidates and technology similar or identical to our product candidates and technology, and our ability to successfully commercialize any product candidates we may develop, and our technology may be adversely affected.</w:t>
      </w:r>
    </w:p>
    <w:p>
      <w:pPr>
        <w:spacing w:after="0" w:line="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PREDATOR platform, our product candidates, their respective components, formulations, combination therapies, methods used to manufacture them and methods of treatment and development that are important to our business. If we do not adequately protect our intellectual property rights, competitors may be able to erode or negate any competitive advantage we may have, which could harm our business and ability to achieve profitability. To protect our proprietary position, we file patent applications in the United States and abroad related to our PREDATOR platform and our product candidates that are important to our business; we also license and may in the future license or purchase additional patents and patent applications filed by others. If we are unable to secure or maintain patent protection with respect to our PREDATOR platform, our product candidates and any proprietary products and technology we develop, our business, financial condition, results of operations and prospects could be materially harmed.</w:t>
      </w:r>
    </w:p>
    <w:p>
      <w:pPr>
        <w:spacing w:after="0" w:line="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If the scope of the patent protection we or our potential licensors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current and future product candidates or otherwise provide any competitive advantage. In addition, to the extent that we license intellectual property in the future, we cannot provide assurances that those licenses will remain in force. In addition, the laws of foreign countries may not protect our rights to the same extent as the laws of the United States. Furthermore, patents have a limited lifespan. In the United States, the natural expiration of a patent is generally 20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a third party may develop a competitive therapy that provides benefits similar to one or more of our product candidates but that uses a formulation and/or a device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Patent positions of life sciences companies can be uncertain and involve complex factual and legal questions. No consistent policy governing the scope of claims allowable in the field of engineered therapeutic proteins has emerged in the United States. The scope of patent protection in jurisdictions outside of the United States is also uncertain. Changes in either the patent laws or their interpretation in any jurisdiction that we seek patent protection may diminish our ability to protect our inventions, maintain and enforce our intellectual property rights; and, more generally, may affect the value of our intellectual property, including the narrowing of the scope of our patents and any that we may license.</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complex, expensive, time-consuming and inconsistent across jurisdictions. We may not be able to file, prosecute, maintain, enforce, or license all necessary or desirable patent rights at a commercially reasonable cost or in a timely manner. In addition, we may not pursue or obtain patent protection in all relevant markets. It is possible that we will fail to identify important patentable aspects of our research and development efforts in time to obtain appropriate or any patent protection. While we enter into non-disclosure and confidentiality agreements with parties who have access to confidential or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patentable aspects of our research and development efforts, including for example, our employees, external academic scientific collaborators, CROs, contract manufacturers, consultants, advisors and other third parties, any of these parties may breach the agreements and disclose our confidential or proprietary information before a patent application is filed, thereby endangering our ability to seek patent protection. In addition, publications of discoveries in the scientific and scholarly literature often lag behind the actual discoveries, and patent applications in the United States and other jurisdictions are typically not published until 18 months after filing, or in some cases not at all. Consequently, we cannot be certain that we were the first to file for patent protection on the inventions claimed in our patents or pending patent applications.</w:t>
      </w:r>
    </w:p>
    <w:p>
      <w:pPr>
        <w:spacing w:after="0" w:line="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issuance, scope, validity, enforceability and commercial value of our patent rights are highly uncertain. Pending patent applications cannot be enforced against third parties unless, and until, patents issue from such applications, and then only to the extent the issued claims cover the technology. There can be no assurance that our patent applications or any patent applications that we may license in the future will result in patents being issued. Further, the scope of the invention claimed in a patent application can be significantly reduced before the patent is issued, and this scope can be reinterpreted after issuance. Even if patent applications we currently own or that we may license in the future issue as patents, they may not issue in a form that will provide us with adequate protection to prevent competitors or other third parties from competing with us, or otherwise provide us with a competitive advantage. Any patents that eventually issue may be challenged, narrowed or invalidated by third parties. Consequently, we do not know whether our PREDATOR platform or any of our product candidates will be protectable or remain protected by valid and enforceable patent rights. Our competitors or other third parties may be able to evade our patent rights by developing new products that are similar to our product candidates, biosimilars of our product candidates, or alternative technologies or products in a non-infringing manner.</w:t>
      </w:r>
    </w:p>
    <w:p>
      <w:pPr>
        <w:spacing w:after="0" w:line="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issuance or grant of a patent is not irrefutable as to its inventorship, scope, validity or enforceability, and our patents may be challenged in the courts or patent offices in the United States and abroad.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may in the future, become subject to a third-party pre-issuance submission of prior art or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 and other similar proceedings challenging our patent rights or the patent rights of others in the U.S. Patent and Trademark Office, or USPTO, or other foreign patent office. An unfavorable determination in any such submission, proceeding or litigation could reduce the scope of, or invalidate, our patent rights, allow third parties to commercialize our technology or products and compete directly with us, without payment to us, or extinguish our ability to manufacture or commercialize products without infringing third-party patent rights.</w:t>
      </w:r>
    </w:p>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or our licensors may need the cooperation of any such co-owners of our owned and in-licensed patents in order to enforce such patents against third parties, and such cooperation may not be provided to us or our licensors. Any of the foregoing could have a material adverse effect on our competitive position, business, financial conditions, results of operations and prospects.</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the Harpoon Agreement for patent rights with respect to our product candidates and may in the future acquire additional third-party intellectual property rights on which we may similarly rely. We face risks with respect to such reliance, including the risk that we could lose these rights that are important to our business if we fail to comply with our obligations under these licenses.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our Second Amended and Restated Assignment and License Agreement, or the Harpoon Agreement, with Harpoon, pursuant to which we have non-exclusive and exclusive rights to technology that is incorporated into our PREDATOR platform, development programs and product candidates. The Harpoon Agreement gives us non-exclusive, sublicensable, worldwide rights to develop, manufacture, and commercialize products containing certain of Harpoon’s patented technology and exclusive, irrevocable rights to certain other Harpoon inventions that may be made during a limited collaboration period. The Harpoon Agreement imposes disclosure, royalty payment and other obligations on us.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the growth of our business may depend in part on our ability to acquire, in-license or use additional third-party intellectual property rights.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competitor may be unwilling to assign or license rights to us. Licenses to additional third-party intellectual property, technology and materials that may be required for the development and commercialization of our product candidates or technology may not be available at all or on commercially reasonable terms. In that event, we may be required to expend significant time and resources to redesign our product candidates or to develop or license replacement technology, all of which may not be feasible on a technical or commercial basis. If we are unable to do so, we may be unable to develop or commercialize our future product candidates or technologies, which could materially harm our business, financial condition, results of operations and growth prospects.</w:t>
      </w:r>
    </w:p>
    <w:p>
      <w:pPr>
        <w:spacing w:after="0" w:line="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the Harpoon Agreement, Harpoon is responsible for prosecution and maintenance of the licensed patents and any future third party from whom we may license patent rights may similarly be responsible for prosecution and maintenance of such patents. We have limited control over the activities that are the responsibility of Harpoon and would have limited control over the activities that are the responsibility of any future licensor, and it is possible that prosecution and maintenance of licensed patents by Harpoon or any future licensor may be less vigorous than had we conducted such activities ourselves. Furthermore, the Harpoon Agreement is subject to, and we expect our future license agreements may also be subject to, a reservation of rights by the licensor and/or one or more third parties.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the Harpoon Agreement or any future license agreements of ours, including:</w:t>
      </w:r>
    </w:p>
    <w:p>
      <w:pPr>
        <w:spacing w:after="0" w:line="111" w:lineRule="exact"/>
        <w:rPr>
          <w:sz w:val="20"/>
          <w:szCs w:val="20"/>
          <w:color w:val="auto"/>
        </w:rPr>
      </w:pPr>
    </w:p>
    <w:p>
      <w:pPr>
        <w:ind w:left="960" w:hanging="39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licensor’s ability to defend intellectual property and to enforce intellectual property rights against third parties;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product candidates and processes infringe, misappropriate or otherwise violate any intellectual property of the licensor that is not subject to the licensing agreement;</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the license agreement;</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any partners of ours; and</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licensing arrangements on acceptable terms, we may be unable to successfully develop and commercialize the affected product candidates. We are generally also subject to all of the same risks described in this Quarterly Report with respect to protection of intellectual property that we license as we are for intellectual property that we own. If we or our licensors fail to adequately protect this intellectual property, our ability to commercialize products could suffer.</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Harpoon and any potential future licensors might conclude that we have materially breached our license agreements and might therefore terminate the relevant license agreements, thereby removing our ability to develop and commercialize products and technology covered by such license agreements. If any of our current or future inbound license agreements are terminated, or if the underlying patents fail to provide the intended exclusivity, competitors would have the freedom to seek regulatory approval of, and to market, products that are covered by such license agreements and underlying patents, which might be identical to our products or product candidates. This could have a material adverse effect on our competitive position, business, financial conditions, results of operations and growth prospects. Our business also would suffer if any current or future licensors fail to abide by the terms of the license or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licensor of ours may have relied on third-party consultants or collaborators or on funds from third parties, such as the United States government, such that such licensor is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while we cannot currently determine the amount of the royalty obligations we would be required to pay on sales of future products, if any, the amounts may be significant. The amount of our future royalty obligations will depend on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technology and intellectual property we use in products that we successfully develop and commercialize, if any. Therefore, even if we successfully develop and commercialize products, we may be unable to achieve or maintain profitability.</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efforts to protect the proprietary nature of the intellectual property related to our technologies and product candidates are not adequate, we may not be able to compete effectively in our market.</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Biotechnology and pharmaceutical companies generally, and we in particular, compete in a crowded competitive space characterized by rapidly evolving technologies and aggressive defense of intellectual property. The USPTO and various foreign governmental patent agencies require compliance with a number of procedural, documentary, fee payment and other provisions during the patent process. Our or our licensor’s failure to comply with all such provisions during the patent process could result in abandonment or lapse of a patent or patent application that we own or license, resulting in partial or complete loss of patent rights in the relevant jurisdiction. In such an event, competitors might be able to enter the market and compete with us earlier than would otherwise have been the case.</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rely upon a combination of patents, confidentiality agreements, trade secret protection and license agreements to protect the intellectual property related to our technologies and our product candidates. Any disclosure to or misappropriation by third parties of our confidential proprietary information could enable competitors to quickly duplicate or surpass our technological achievements and product candidates, thus eroding our competitive position in our market.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seek or plan to seek patent protection for our PREDATOR platform and product candidates by filing and prosecuting patent applications in the United States and other countries as appropriate. However, we cannot predict:</w:t>
      </w:r>
    </w:p>
    <w:p>
      <w:pPr>
        <w:spacing w:after="0" w:line="57" w:lineRule="exact"/>
        <w:rPr>
          <w:sz w:val="20"/>
          <w:szCs w:val="20"/>
          <w:color w:val="auto"/>
        </w:rPr>
      </w:pPr>
    </w:p>
    <w:p>
      <w:pPr>
        <w:ind w:left="960" w:hanging="39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patents will issue with claims that cover our product candidates;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issued patents will afford us against competitors including whether third parties will find ways to invalidate or otherwise circumvent our patents;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intellectual property will provide any competitive advantage;</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patents that may be issued may be challenged, invalidated, modified, revoked, circumvented, found to be unenforceable or otherwise may not provide any competitive advantage;</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 or</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or defend litigation or administrative proceedings which may be costly regardless of whether we win or lose.</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Additionally, we cannot be certain that the claims in our pending patent applications covering our product candidates, PREDATOR platform and research programs will be considered patentable by the USPTO, or by patent offices in foreign countries, or that the claims in any of our issued patents will be considered valid by courts in the United States or foreign countries.</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technology or uses thereof in the United States or in other foreign countries. Even if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or technology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U.S.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Various post-grant review proceedings, such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and derivation proceedings, are available and may be pursued by any interested third party in the USPTO to challenge the patentability of claims issued in patents to us or our licensors. No assurance can be given as to the outcome of any such post-grant review proceedings.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our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USPTO-administered post-grant review system that has affected patent litigation.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8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7" w:lineRule="exact"/>
        <w:rPr>
          <w:sz w:val="20"/>
          <w:szCs w:val="20"/>
          <w:color w:val="auto"/>
        </w:rPr>
      </w:pPr>
    </w:p>
    <w:p>
      <w:pPr>
        <w:ind w:left="960" w:hanging="398"/>
        <w:spacing w:after="0" w:line="274"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polypeptides or nucleic acids that are similar to our product candidates or components of our product candidates but that are not covered by the claims of our patents;</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patents and patent applications funded by U.S. government grants, leading to the loss of patent rights;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ours;</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United States;</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 or technology;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398"/>
        <w:spacing w:after="0" w:line="274"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57"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such collaborators may develop adjacent or competing products to ours that are outside the scope of our patents;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technology we develop may be covered by third parties’ patents or other exclusive rights; or</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proprietary position in part depends upon patents that are manufacturing, formulation or method-of-use patents, which may not prevent a competitor or other third party from using the same product candidate for another use.</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Composition of matter patents for biological and pharmaceutical products are generally considered to be the strongest form of intellectual property protection for those types of products, as such patents provide protection without regard to any method of making or method of use. We have issued patents with certain composition of matter claims with respect to WTX-124 and IL-12 INDUKINE molecules and also have pending patent applications with other composition of matter claims with respect to our product candidates. We cannot be certain, however, that the claims in our pending patent applications, including those claims covering the composition of matter of our product candidates, will be considered patentable by the USPTO or by patent offices in foreign countries, or that the claims in any of our patents that have issued or may issue will be considered valid and enforceable by courts in the United States or foreign countries. Furthermore, in some cases, we may not be able to obtain issued claims covering compositions of matter relating to our product candidates, and instead may need to rely on filing patent applications with claims covering a method of use and/or method of manufacture. Method of use patents protect a specified method of using a product, such as a method of use for treating a particular medical indication. This type of patent does not prevent a competitor from making and marketing a product that is identical to our product for an indication that is outside the scope of the patented method. Moreover, even if competitors do not actively promote their products for our targeted indications, physicians may prescribe these products “off-label” for those uses that are covered by our method of use patents. Although off-label prescriptions may infringe or contribute to the infringement of method of use patents, the practice is common and such infringement is difficult to prevent by enforcing patent rights or otherwise.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product candidates could have a material adverse effect on our business, financial condition, results of operations, and prospects.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confidentiality agreements, and license and other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For example, significant elements of our product candidates and PREDATOR platform, including aspects of sample preparation, methods of manufacturing, cell culturing conditions, computational-biological algorithms and related processes are based on unpatented trade secrets that are not publicly disclosed. Although we take steps to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 However, we cannot provide assurance that these agreements and policies will not be breached by our employees, consultants, outside scientific collaborators, sponsored researchers and other advisors and that our trade secrets and other proprietary and confidential information will not be disclosed publicly or to competitors.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of the patents and proprietary rights of third parties. There is a substantial amount of litigation involving patents and other intellectual property rights in the biotechnology and pharmaceutical industries, as well as administrative proceedings for challenging patents, including interference, reexamination, and post-grant review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third party claims that we infringe its intellectual property rights, we may face a number of issues, including, but not limited to:</w:t>
      </w:r>
    </w:p>
    <w:p>
      <w:pPr>
        <w:spacing w:after="0" w:line="111" w:lineRule="exact"/>
        <w:rPr>
          <w:sz w:val="20"/>
          <w:szCs w:val="20"/>
          <w:color w:val="auto"/>
        </w:rPr>
      </w:pPr>
    </w:p>
    <w:p>
      <w:pPr>
        <w:ind w:left="960" w:hanging="398"/>
        <w:spacing w:after="0" w:line="274"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57"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7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and</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third party intellectual property rights, which may not be possible or may require substantial monetary expenditures and time.</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preclinical and clinical trials and other development activities in the United States is not considered an act of infringement. If any product candidate we develop is approved by the FDA, a third party may then seek to enforce its patent by filing a patent infringement lawsuit against us. For example, we have received, and we may in the future receive, correspondence from third parties or their legal counsel disclosing that such third party owns patents that may encompass one or more of our product candidates. It is also possible that a third party may file a lawsuit against us alleging infringement of its patents. The outcome of</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any such proceeding is uncertain and would likely result in the expenditure of significant financial resources and the diversion of management’s time and resources, which could harm our business. While we do not believe that any claims that could otherwise have a materially adverse effect on the commercialization of our product candidates are valid and enforceable, we may be incorrect in this belief, or we may not be able to prove it in litigation. In this regard,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on commercially reasonable terms or at all.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Presently we have certain intellectual property rights, under patents and patent applications that we own or will own and under the Harpoon Agreement, related to WTX-124, WTX-330, JZP898, WTX-712, WTX-518, WTX-921, WTX-1011, WTX-2022 and other product candidates we may develop in the future. Our development of additional product candidates may require the use of proprietary rights held by third parties, the growth of our business will likely depend in part on our ability to acquire, in-license or use these proprietary rights. In addition, while we have patent rights directed to certain INDUKINE and INDUCER constructs we may not be able to obtain intellectual property to broad INDUKINE or INDUCER polypeptides or engineered INDUKINE or INDUCER constructs.</w:t>
      </w:r>
    </w:p>
    <w:p>
      <w:pPr>
        <w:spacing w:after="0" w:line="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rights to such formulation technology may be held by others. Similarly, efficient production or delivery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Moreover, the specific components, such as linkers and antibody fragments, that will be used with our product candidates may be covered by the intellectual property rights of others.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Additionally, we may collaborate with or sponsor research at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or sponsorship.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Competitors may infringe our patents or the patents of our licensors. To counter infringement or unauthorized use, we may be required to file lawsuits with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post-grant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Some of our patent applications have been granted or may be granted or allowed in the future. We cannot be certain that an allowed patent application will become an issued patent. There may be events that can cause the allowance of a patent application to be withdrawn. For example, after a patent application has been allowed, but prior to being issued, material that could be relevant to patentability may be identified. In such circumstances, the applicant may pull the application from allowance in order for the USPTO to review the application in view of the new material. We cannot be certain that the USPTO will re-allow the application in view of the new material. Further, 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We rely on our outside counsel and other professionals or our licensing partners to pay these fees due to the USPTO and non-U.S. government patent agencies and to help us comply with other procedural, documentary and other similar requirements and we are also dependent on our licensors to take the necessary action to comply with these requirements with respect to our licensed intellectual property. While an inadvertent lapse can in many cases be cured by payment of a late fee or by other means in accordance with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or technology could be found invalid or unenforceable if challenged in court or the USPTO.</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If we or one of our licensors initiate legal proceedings against a third party to enforce a patent covering one of our product candidates or our technology, the defendant could counterclaim that the patent covering our product candidate or technology,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post-grant review and equivalent proceedings in foreign jurisdictions (such as opposition proceedings). Such proceedings could result in revocation or amendment to our patents in such a way that they no longer cover our product candidates or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or technology. Such a loss of patent protection could have a material adverse impact on our business and our ability to commercialize or license our technology and product candidates.</w:t>
      </w:r>
    </w:p>
    <w:p>
      <w:pPr>
        <w:spacing w:after="0" w:line="6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 in the United States and in foreign jurisdictions could diminish the value of patents in general, thereby impairing our ability to protect our products.</w:t>
      </w:r>
    </w:p>
    <w:p>
      <w:pPr>
        <w:spacing w:after="0" w:line="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In addition, the United States continues to adapt to wide-ranging patent reform legislation that became effective starting in 2012. Moreover,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Assoc. for Molecular Pathology v. Myriad Genetics, Inc.,</w:t>
      </w:r>
      <w:r>
        <w:rPr>
          <w:rFonts w:ascii="Times New Roman" w:cs="Times New Roman" w:eastAsia="Times New Roman" w:hAnsi="Times New Roman"/>
          <w:sz w:val="18"/>
          <w:szCs w:val="18"/>
          <w:color w:val="auto"/>
        </w:rPr>
        <w:t xml:space="preserve"> the U.S. Supreme Court held that certain claims to DNA molecules are not patentable. While we do not believe that any of the patents owned or licensed by us will be found invalid based on this decision, we cannot predict how future decisions by the courts, Congress or the USPTO may impact the value of our patents. Similarly, changes in the patent laws of other jurisdictions could adversely affect our ability to obtain and effectively enforce our patent rights, which would have a material adverse effect on our business and financial condition.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1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have obtained granted patents in the United States that we consider to be important for certain of our product candidates, however, we may have less robust intellectual property rights outside the United States, and, in particular, we may not be able to pursue generic coverage of our PREDATOR platform or of our INDUKINE or INDUCER molecules outside of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Most of our patent portfolio is at the very early stage. We will need to decide whether and in which jurisdictions to pursue protection for the various inventions in our portfolio prior to applicable deadlines.</w:t>
      </w:r>
    </w:p>
    <w:p>
      <w:pPr>
        <w:spacing w:after="0" w:line="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many countries have compulsory licensing laws under which a patent owner may be compelled to grant licenses to third parties. Many countries also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and financial condition may be adversely affected.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 consuming. If we were unsuccessful, we could lose valuable rights in intellectual property that we regard as our own.</w:t>
      </w:r>
    </w:p>
    <w:p>
      <w:pPr>
        <w:spacing w:after="0" w:line="7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confidential information of our competitors or are in breach of non-competition or non-solicitation agreements with our competitors.</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Many of our employees were previously employed at other pharmaceutical companies, including our competitors or potential competitors, in some cases until recently. We may be subject to claims that we or our employees have inadvertently or otherwise used or disclosed trade secrets or other confidential information of these former employers or competitors. In addition, we have been and may in the future be subject to claims that we caused an employee to breach the terms of his or her non-competition or non-solicitation agreement.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we may lose valuable intellectual property rights or personnel.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obtain patent term extension and data exclusivity for any of our current or future product candidates, our business may be materially harmed.</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of our current or future product candidates, one or more of our U.S. patents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infringing on other marks. We rely on both registration and common law protection for our trademarks. We may not be able to protect our</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1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w:t>
      </w:r>
    </w:p>
    <w:p>
      <w:pPr>
        <w:spacing w:after="0" w:line="79" w:lineRule="exact"/>
        <w:rPr>
          <w:sz w:val="20"/>
          <w:szCs w:val="20"/>
          <w:color w:val="auto"/>
        </w:rPr>
      </w:pPr>
    </w:p>
    <w:p>
      <w:pPr>
        <w:ind w:left="960" w:hanging="39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own or license may not lead to issued patents;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own or license, may not provide us with any competitive advantages, or may be challenged and held invalid or unenforceable;</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any of our owned or in-licensed patents, should any such patents issue;</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make the inventions covered by a pending patent application that we own or license;</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might not have been the first to file patent applications covering a particular invention;</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Product Candidates and Other Legal Compliance Matters</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regulatory approval process is expensive, time 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research, testing, manufacturing, labeling, approval, selling, marketing, promotion and distribution of products are subject to extensive regulation by the FDA and comparable foreign regulatory authorities. We are not permitted to market our product candidates in the United States or in other countries until we receive approval of an NDA or BLA from the FDA or marketing approval from applicable regulatory authorities outside the United States. Our product candidates are in various stages of development and are subject to the risks of failure inherent in development. We have not submitted an application for or received marketing approval for any of our product candidates in the United States or in any other jurisdiction. We have no experience as a company in filing and supporting the applications necessary to gain marketing approvals and expect to rely on third-party CROs to assist us in this process.</w:t>
      </w:r>
    </w:p>
    <w:p>
      <w:pPr>
        <w:spacing w:after="0" w:line="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lengthy, expensive and uncertain. It may take many years, if approval is obtained at all, and can vary substantially based upon a variety of factors, including the type,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and efficacy. The FDA or other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Further, under the Pediatric Research Equity Act,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 also requires sponsors to either conduct clinical trials in a pediatric population in accordance with a Pediatric Investigation Plan approved by the Pediatric Committee of the European Medicines Agency, or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current presidential administration, there have been significant and wide-ranging reforms to federal policy and the federal government. In particular, as in recent preceding presidential administrations, drug pricing and reimbursement reform is a focus of reform efforts. Other healthcare reform efforts or other actions under the current presidential administration may adversely affect the development of new drug therapies, access to healthcare coverage or the funding of healthcare benefits, although the full impact of such efforts or actions cannot be predicted. For example, the Congressional Budget Office has estimated that Medicaid provisions in the OBBBA, including restrictions in eligibility and funding for Medicaid, as well as changes to the healthcare marketplace will increase the number of uninsured by 16 million by 2034.</w:t>
      </w:r>
    </w:p>
    <w:p>
      <w:pPr>
        <w:spacing w:after="0" w:line="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Any delay in obtaining or failure to obtain required approvals could negatively affect our ability or that of any future collaborators to generate revenue from the particular product candidate, which likely would result in significant harm to our financial position and adversely impact our stock price.</w:t>
      </w:r>
    </w:p>
    <w:p>
      <w:pPr>
        <w:spacing w:after="0" w:line="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product candidates from being marketed abroad. Any approval we may be granted for our product candidates in the United States would not assure approval of our product candidates in foreign jurisdictions and any of our product candidates that may be approved for marketing in a foreign jurisdiction will be subject to risks associated with foreign operations.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order to market and sell our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products in any market.</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many countries outside the United States, a product candidate must also be approved for reimbursement before it can be sold in that country. In some cases, the price that we intend to charge for our products, if approved, is also subject to approval. Obtaining non-U.S. regulatory approvals and compliance with non-U.S. regulatory requirements could result in significant delays, difficulties and costs for us and could delay or prevent the introduction of our product candidates in certain countries. In addition, if we fail to obtain the non-U.S. approvals required to market our product candidates outside the United States or if we fail to comply with applicable non-U.S. regulatory requirements, our target markets will be reduced and our ability to realize the full market potential of our product candidates will be harmed and our business, financial condition, results of operations and prospects may be adversely affected.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As of January 1, 2025, a new international recognition procedure, or IRP, applies,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EU/European Economic Area, or EEA, member states for approvals in the EU centralized procedure and mutual recognition procedure as well as the FDA (for product approvals granted in the U.S.). Should we or our collaborators seek to rely on the IRP to obtain regulatory approval in the U.K., any delay in obtaining, or an inability to obtain, any marketing approvals from RRs may force us or our collaborators to restrict or delay efforts to seek regulatory approval in the U.K. for our product candidates, which could significantly and materially harm our business.</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On April 10, 2024, the European Parliament adopted a position on the proposal requesting several amendments to the package.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7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or orphan drug exclusivity for our product candidates and, even if we do, that exclusivity may not prevent the FDA or the EMA from approving competing products.</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Generally, a product with orphan drug designation only becomes entitled to orphan drug exclusivity if it receives the first marketing approval for the indication for which it has such designation, in which case the FDA or the EMA will be precluded from approving another marketing application for the same product for that indication for the applicable exclusivity period. The applicable exclusivity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seek orphan drug designations for our product candidates and may be unable to obtain such designations. Even if we do secure such designations and orphan drug exclusivity for a product, that exclusivity may not effectively protect the product from competition because different products can be approved for the same condition. Further, the FDA can subsequently approve the same drug for the same condition if the FDA concludes that the later product is clinically superior in that it is shown to be safer, to be more effective or to make a major contribution to patient care. Finally, orphan drug exclusivity may be lost if the FDA or the EMA determines that the request for designation was materially defective or if the manufacturer is unable to assure sufficient quantity of the product to meet the needs of patients with the rare disease or condition.</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It is also possible that current or future litigation or action by Congress could change the scope of available orphan exclusivity. Any changes to the orphan drug provisions could change our opportunities for, or likelihood of success in obtaining, orphan drug exclusivity and could materially adversely affect our business, financial condition, results of operations, cash flows and prospects.</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do not know if, when, or how the FDA or Congress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obtain orphan drug designation in the EU, we would need to demonstrate that there exists no satisfactory method of diagnosis, prevention or treatment of the condition in question that has been authorized in the EU or, if such method exists, the medicinal product will be of significant benefit to those affected by that condition. There is no assurance that we would be able to meet that standard for any of our product candidates. Further, if we do obtain orphan drug designation for a candidate product in the EU, we will not be able to maintain that designation if we are not able to show, to the satisfaction of the EU regulatory authorities, that the candidate product is of significant benefit to patients over available commercial products for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indication in the EU and any additional products that are ahead of our product candidate in clinical development for the indication.</w:t>
      </w:r>
    </w:p>
    <w:p>
      <w:pPr>
        <w:spacing w:after="0" w:line="10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is subject to ongoing regulation and could be subject to restrictions or withdrawal from the market, and we may be subject to substantial penalties if we fail to comply with regulatory requirements, when and if any of our product candidates are approved.</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continual requirements of and review by the FDA and other regulatory authorities. These requirements include submissions of safety and other post-marketing information and reports, registration and listing requirements, cGMP requirements relating to quality control and manufacturing, quality assurance and corresponding maintenance of records and documents, and requirements regarding the distribution of samples to physicians and recordkeeping. In addition, the approval may be subject to limitations on the indicated uses for which the product may be marketed or to the conditions of approval, or contain requirements for costly post-marketing testing and surveillance to monitor the safety or efficacy of the medicine, including the requirement to implement a risk evaluation and mitigation strategy.</w:t>
      </w:r>
    </w:p>
    <w:p>
      <w:pPr>
        <w:spacing w:after="0" w:line="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57" w:lineRule="exact"/>
        <w:rPr>
          <w:sz w:val="20"/>
          <w:szCs w:val="20"/>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distribution or use of a product;</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collaborators;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Post-approval restrictions apply to the approval of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Accordingly, if we receive marketing approval for one or more of our product candidates, we will continue to expend time, money and effort in all areas of regulatory compliance, including manufacturing, production, product surveillance and quality control. If we fail to comply with these requirements, we could have the marketing approvals for our products withdrawn by regulatory authorities and our ability to market any products could be limited, which could adversely affect our ability to achieve or sustain profitability.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Physicians may nevertheless prescribe our products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 We will need to carefully navigate the FDA’s various regulations, guidance and policies, along with recently enacted legislation, to ensure compliance with restrictions governing promotion of our products.</w:t>
      </w:r>
    </w:p>
    <w:p>
      <w:pPr>
        <w:spacing w:after="0" w:line="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under some relatively recent guidance from the FDA and the Pre-Approval Information Exchange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7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We may seek certain designations for our product candidates, including Breakthrough Therapy, Fast Track and Priority Review designations, but we might not receive such designations, and even if we do, such designations may not lead to a faster development or regulatory review or approval process.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also seek a priority review designation for one or more of our product candidates. If the FDA determines that a product candidate is intended to treat a serious condition and, if approved, offers a significant improvement in safety or effectiveness, the FDA may designate the product candidate for priority review.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means that the goal for the FDA to review an application is six months, rather than the standard review period of ten months.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one or more of our product candidates, but we might not receive such designations and, even if we do, such designations may not lead to a faster development or regulatory review or approval process.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EU, we may seek PRIME designation for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8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benefits of a PRIME designation include the appointment of a rapporteur from the Committee for Human Medicinal Products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designation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any of our current or future product candidates, may not lead to a faster development or regulatory review or approval process and it does not increase the likelihood that our product candidates will receive marketing approval.</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seek approval of any of our current and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The FDA or other applicable regulatory agency makes the determination regarding whether a surrogate endpoint is reasonably likely to predict long-term clinical benefit.</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 As a condition of approval, the FDA requires that a sponsor of a product receiving accelerated approval perform an adequate and well-controlled post-marketing confirmatory clinical trial or trials. These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confirmatory trials must be completed with due diligence and we may be required to evaluate different or additional endpoints in these post-marketing confirmatory trials. These confirmatory trials may require enrollment of more patients than we currently anticipate and will result in additional costs, which may be greater than the estimated costs we currently anticipate. In addition, the FDA currently requires as a condition for accelerated approval preapproval of promotional materials, which could adversely impact the timing of the commercial launch of the product.</w:t>
      </w:r>
    </w:p>
    <w:p>
      <w:pPr>
        <w:spacing w:after="0" w:line="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There can be no assurance that the FDA will agree with any proposed surrogate endpoints or that we will decide to pursue or submit a BLA or NDA for accelerated approval or any other form of expedited development, review or approval for any of our current or future product candidates.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Further, there can be no assurance that we will satisfy all FDA requirements, including new provisions, that govern accelerated approval. For example, with passage of the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 We will need to fully comply with these and other requirements in connection with the development and approval of any product candidate that qualifies for accelerated approval.</w:t>
      </w:r>
    </w:p>
    <w:p>
      <w:pPr>
        <w:spacing w:after="0" w:line="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More recently, 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FDA’s views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EMA, the marketing authorization will cease to be renewed.</w:t>
      </w:r>
    </w:p>
    <w:p>
      <w:pPr>
        <w:spacing w:after="0" w:line="7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The manufacturing facilities on which we rely may not continue to meet regulatory requirements, which could materially harm our business.</w:t>
      </w:r>
    </w:p>
    <w:p>
      <w:pPr>
        <w:spacing w:after="0" w:line="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All entities involved in the preparation of product candidates for clinical trials or commercial sale, including any contract manufacturers, are subject to extensive regulation. Components of a finished therapeutic product approved for commercial sale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w:t>
      </w:r>
    </w:p>
    <w:p>
      <w:pPr>
        <w:spacing w:after="0" w:line="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or our contract manufacturer must supply all necessary documentation in support of a BLA or an NDA on a timely basis and must adhere to the FDA’s current Good Laboratory Practice and cGMP regulations enforced through its facilities inspection program. Our facilities and quality systems and the facilities and quality systems of some or all of our third-party contractors must pass a pre-approval inspection for compliance with the applicable regulations as a condition of regulatory approval of any product candidate. In addition, the regulatory authorities may, at any time, audit or inspect a manufacturing facility involved with the preparation of our product candidates or the associated quality systems for compliance with the regulations applicable to the activities being conducted. If these facilities do not pass a pre-approval plant inspection, FDA approval of the products will not be granted.</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our manufacturing facilities or those of our third-party contractors. If any such inspection or audit identifies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can impose regulatory sanctions including, among other things, refusal to approve a pending application for a new product, or revocation of a pre-existing approval. Any such consequence would severely harm our business, financial condition and results of operations.</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intend in the future to conduct clinical trials for certain of our product candidates at sites outside the United States. The FDA may not accept data from trials conducted in such locations and the conduct of trials outside the United States could subject us to additional delays and expense.</w:t>
      </w:r>
    </w:p>
    <w:p>
      <w:pPr>
        <w:spacing w:after="0" w:line="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intend in the future to conduct one or more of our clinical trials with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 The FDA must be able to validate the data from the trial through an onsite inspection if necessary.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the FDA acceptance of the data will be dependent upon its determination that the trials also complied with all applicable U.S. laws and regulations. There can be no assurance that the FDA will accept data from clinical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our product candidates.</w:t>
      </w:r>
    </w:p>
    <w:p>
      <w:pPr>
        <w:spacing w:after="0" w:line="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adverse impact on us or the trial results. Risks inherent in conducting international clinical trials include:</w:t>
      </w:r>
    </w:p>
    <w:p>
      <w:pPr>
        <w:spacing w:after="0" w:line="57" w:lineRule="exact"/>
        <w:rPr>
          <w:sz w:val="20"/>
          <w:szCs w:val="20"/>
          <w:color w:val="auto"/>
        </w:rPr>
      </w:pPr>
    </w:p>
    <w:p>
      <w:pPr>
        <w:ind w:left="960" w:hanging="398"/>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reimbursement for any of our candidate products that do receive marketing approval.</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in more rigorous coverage criteria and in additional downward pressure on the price that we may receive for any approved products. If reimbursement of our products is unavailable or limited in scope, our business could be materially harmed.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continues to significantly impact the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pharmaceutical industry.</w:t>
      </w:r>
    </w:p>
    <w:p>
      <w:pPr>
        <w:spacing w:after="0" w:line="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first Trump administration, the Congress and administration sought to overturn the ACA and related measures. Shortly after taking office in January 2025, President Trump revoked numerous executive orders issued by President Biden, including at least two executive orders (e.g., E.O. 14009, Strengthening Medicaid and the Affordable Care Act, and E.O. 14070, Continuing to Strengthen Americans’ Access to Affordable, Quality Health Coverage) where were designed to further implement the ACA. We anticipate similar efforts to undermine the ACA, and the accompanying uncertainty, for the foreseeable future.</w:t>
      </w:r>
    </w:p>
    <w:p>
      <w:pPr>
        <w:spacing w:after="0" w:line="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ACA has been subject to litigation challenging its provisions, and such litigation is likely to continue with uncertain results.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until fiscal year 2032 unless additional congressional action is taken. Additionally, the Inflation Reduction Act, or the IRA, also capped Medicare out-of-pocket drug costs at an estimated $2,000 a year (to be adjusted annually for inflation) beginning in 2025.</w:t>
      </w:r>
    </w:p>
    <w:p>
      <w:pPr>
        <w:spacing w:after="0" w:line="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the EU, on December 13, 2021, Regulation No 2021/2282 on Health Technology Assessment, or HTA, amending Directive 2011/24/EU, was adopted. While the Regulation entered into force in January 2022, it began to apply from January 2025 onward,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8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costs for our products, if and when they are licensed for marketing, and that could materially impact our ability to generate revenues.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August 2022, the IRA was signed into law by President Biden. The legislation requires manufacturers of certain drugs to engage in price negotiations with Medicare (beginning in 2026), with prices that can be negotiated subject to a cap, imposes rebates under Medicare Part B and Medicare Part D to penalize price increases that outpace inflation, and replaces the Part D coverage gap discount program with a new discounting. The IRA permits the Secretary of the HHS to implement many of these provisions through guidance, as opposed to regulation, for the initial years.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Ten high-cost drugs paid for by Medicare Part D are subject to negotiated prices starting in 2026, to be followed by 15 Part D drugs in 2027, 15 Part B or Part D drugs in 2028, and 20 Part B or Part D drugs in 2029 and beyond. This provision applies to drug products that have been approved for at least 9 years and biologics that have been licensed for 13 years. When originally enacted, the IRA explicitly excluded from price negotiation orphan drugs designated for only one rare disease or condition and for which the only active approved indication is for such disease or condition. However, the One Big Beautiful Bill Act signed into law on July 4, 2025 amended the applicable statute to broaden the orphan drug exclusion to include products with more than one orphan designation and more than one approved indication. Further, the legislation subjects drug manufacturers to civil monetary penalties and a potential excise tax for failing to comply with the legislation by offering a price that is not equal to or less than the negotiated “maximum fair price” under the law.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CMS has and continues to take steps to implement the IRA, including negotiating and publishing “maximum fair prices” for drugs selected under the IRA’s price negotiation framework and releasing quarterly lists of Medicare Part B products and annual lists of Medicare Part D products that are subject to adjusted coinsurance rates based on the inflationary rebate provisions of the IRA. While it remains to be seen how the drug pricing provisions imposed by the IRA will affect the broader pharmaceutical industry, several pharmaceutical manufacturers and other industry stakeholders have challenged the law, including through lawsuits brought against the HHS, the Secretary of the HHS, CMS, and the CMS Administrator challenging the constitutionality and administrative implementation of the IRA’s drug price negotiation provisions. This litigation is ongoing and its results, and potential impacts on our business, are uncertain.</w:t>
      </w:r>
    </w:p>
    <w:p>
      <w:pPr>
        <w:spacing w:after="0" w:line="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7"/>
          <w:szCs w:val="17"/>
          <w:color w:val="auto"/>
        </w:rPr>
        <w:t>n addition, in October 2020, HHS and the FDA published a final rule allowing states and other entities to develop a Section 804 Importation Program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import certain prescription drugs from Canada into the U.S. That regulation was challenged in a lawsuit by the Pharmaceutical Research and Manufacturers of America (“PhRMA”) but the case was dismissed by a federal district court in February 2023 after the court found that PhRMA did not have standing to sue HHS. Several states have passed laws allowing for the importation of drugs from Canada.</w:t>
      </w:r>
    </w:p>
    <w:p>
      <w:pPr>
        <w:spacing w:after="0" w:line="6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OBBBA eliminated certain provisions of the IRA,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We expect that litigation involving these and other provisions of the IRA will continue, with unpredictable and uncertain results.</w:t>
      </w:r>
    </w:p>
    <w:p>
      <w:pPr>
        <w:spacing w:after="0" w:line="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April 15, 2025, President Trump issued an Executive Order that directs HHS to take steps to reduce the prices of pharmaceutical products. The executive order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spacing w:after="0" w:line="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Subsequently, on May 12, 2025, President Trump issued an additional executive order, or the Additional Order, calling on pharmaceutical manufacturers to voluntarily reduce the prices of medicines in the U.S. The Additional Order directs the Secretary of HHS to communicate most-favored-nation, or MFN, price targets to pharmaceutical manufacturers to bring prices in line with comparably developed nations. Since the Additional Order, the Trump administration has continued to exert pressure on drug manufacturers to implement “most-favored-nation” pricing. For example, in November 2025, CMS announced a new voluntary payment initiative called the GENEROUS Model (GENErating cost Reductions for U.S. Medicaid Model) where drug manufacturers may voluntarily offer supplemental rebates to participating state Medicaid programs that are intended to provide such Medicaid programs with a “most-favored-nation” price for participating manufacturers’ products. Additionally, on December 21, 2025, CMS issued two proposed rules that, if implemented, would introduce two mandatory payment models, the Global Benchmark for Efficient Drug Pricing (GLOBE) and Guarding U.S. Medicare Against Rising Drug Costs (GUARD) models, where manufacturers of certain Medicare Part B and Medicare Part D drugs would be assessed rebates if the prices for such products exceed those paid in economically comparable countries. Most recently, on April 2, 2026, President Trump issued an executive order establishing a tariff framework for imported patented pharmaceuticals and related inputs, with more favorable rates and/or exceptions tied to most-favored-nation pricing and domestic manufacturing commitments. It remains to be seen how these drug pricing initiatives will affect the broader pharmaceutical industry.</w:t>
      </w:r>
    </w:p>
    <w:p>
      <w:pPr>
        <w:spacing w:after="0" w:line="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the U.S.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Another emerging trend at the state level is the establishment of prescription drug affordability boards, some of which will prospectively permit certain states to establish upper payment limits for drugs that the state has determined to be “high-cost.” Prescription drug affordability boards in several states have begun identifying products for affordability reviews and issuing information requests to manufacturers to determine whether upper payment limits may be justified. In addition, regional health care authorities and individual hospitals are increasingly using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Finally, outside the United States, in some nations, including those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healthcare laws and regulations, which could expose us to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products for which we obtain marketing approval. Our current and future arrangements with healthcare providers, third-party payors, and customers will subject us to broadly applicable fraud and abuse and other healthcare laws and regulations that may constrain the business or financial arrangements and relationships through which we conduct clinical research as well as market, sell and distribute any products for which we obtain marketing approval. These include, but are not limited to the following:</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which prohibits, among other things, persons and entities from knowingly and willfully soliciting,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False Claims Laws</w:t>
      </w:r>
      <w:r>
        <w:rPr>
          <w:rFonts w:ascii="Times New Roman" w:cs="Times New Roman" w:eastAsia="Times New Roman" w:hAnsi="Times New Roman"/>
          <w:sz w:val="18"/>
          <w:szCs w:val="18"/>
          <w:color w:val="auto"/>
        </w:rPr>
        <w:t>. The federal false claims laws and civil monetary penalties laws, including the federal civil False Claims Act, impose criminal and civil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penalties, including those from civil whistleblower or qui tam actions against individuals or entities for, among other things, knowingly presenting, or causing to be presented to the federal government, claims for payment that are false or fraudulent or making a false statement or record material payment of a false claim or avoiding decreasing or concealing an obligation to pay money to the federal government.</w:t>
      </w:r>
    </w:p>
    <w:p>
      <w:pPr>
        <w:spacing w:after="0" w:line="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HIPAA</w:t>
      </w:r>
      <w:r>
        <w:rPr>
          <w:rFonts w:ascii="Times New Roman" w:cs="Times New Roman" w:eastAsia="Times New Roman" w:hAnsi="Times New Roman"/>
          <w:sz w:val="18"/>
          <w:szCs w:val="18"/>
          <w:color w:val="auto"/>
        </w:rPr>
        <w:t>. The federal Health Insurance Portability and Accountability Act of 1996, or HIPAA, imposes criminal and civil liability for,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executing or attempting to execute a scheme to defraud any healthcare benefit program.</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HIPAA and HITECH</w:t>
      </w:r>
      <w:r>
        <w:rPr>
          <w:rFonts w:ascii="Times New Roman" w:cs="Times New Roman" w:eastAsia="Times New Roman" w:hAnsi="Times New Roman"/>
          <w:sz w:val="18"/>
          <w:szCs w:val="18"/>
          <w:color w:val="auto"/>
        </w:rPr>
        <w:t>. HIPAA, as amended by the Health Information Technology for Economic and Clinical Health Act, or the HITECH Act, also imposes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on certain types of individuals and entities, including mandatory contractual terms, with respect to safeguarding the privacy, security and transmission of individually identifiable health information.</w:t>
      </w:r>
    </w:p>
    <w:p>
      <w:pPr>
        <w:spacing w:after="0" w:line="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False Statements Statute</w:t>
      </w:r>
      <w:r>
        <w:rPr>
          <w:rFonts w:ascii="Times New Roman" w:cs="Times New Roman" w:eastAsia="Times New Roman" w:hAnsi="Times New Roman"/>
          <w:sz w:val="18"/>
          <w:szCs w:val="18"/>
          <w:color w:val="auto"/>
        </w:rPr>
        <w:t>. The federal false statements statute prohibits knowingly and willfully falsifying, concealing or covering up a material fact or 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materially false statement in connection with the delivery of or payment for healthcare benefits, items or services.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Transparency Requirements</w:t>
      </w:r>
      <w:r>
        <w:rPr>
          <w:rFonts w:ascii="Times New Roman" w:cs="Times New Roman" w:eastAsia="Times New Roman" w:hAnsi="Times New Roman"/>
          <w:sz w:val="18"/>
          <w:szCs w:val="18"/>
          <w:color w:val="auto"/>
        </w:rPr>
        <w:t>. The federal Physician Payments Sunshine Act requires certain manufacturers of drugs, devices, biologics, and medical supplies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which payment is available under Medicare, Medicaid, or the Children’s Health Insurance Program, with specific exceptions, to report annually to CMS information related to payments and other transfers of value made to U.S.-licensed physicians (defined to include doctors, dentists, optometrists, podiatrists, and chiropractors) and certain other U.S.-licensed healthcare providers and U.S. teaching hospitals, as well as information regarding ownership and investment interests by physicians and their immediate family members. As of January 1, 2022, applicable manufacturers are also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Analogous State and Foreign Laws</w:t>
      </w:r>
      <w:r>
        <w:rPr>
          <w:rFonts w:ascii="Times New Roman" w:cs="Times New Roman" w:eastAsia="Times New Roman" w:hAnsi="Times New Roman"/>
          <w:sz w:val="18"/>
          <w:szCs w:val="18"/>
          <w:color w:val="auto"/>
        </w:rPr>
        <w:t>. Analogous state and foreign fraud and abuse laws and regulations, such as state anti-kickback and false claims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transparency laws, may apply to sales or marketing arrangements, and claims involving healthcare items or services reimbursed by non-governmental third party payors, including private insurers, and some state laws require pharmaceutical companies to comply with the pharmaceutical industry’s voluntary compliance guidelines and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relevant compliance guidance promulgated by the federal government, in addition to requiring manufacturers to report information related to payments to physicians and other healthcare providers or marketing expenditures. Many state laws also govern the privacy and security of health information in some circumstances, many of which differ from each other in significant ways and often are not preempted by HIPAA, thus complicating compliance efforts. Foreign laws also govern the privacy and security of health information in many circumstances.</w:t>
      </w:r>
    </w:p>
    <w:p>
      <w:pPr>
        <w:spacing w:after="0" w:line="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federal healthcare programs, such as Medicare and Medicaid, disgorgement, contractual damages, and reputational harm,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federal healthcare programs.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Compliance with state, national and international privacy and data security requirements could result in additional costs and liabilities to us or inhibit our ability to collect and process data globally, and the failure to comply with such requirements could subject us to a variety of harms, including significant fines and penalties, litigation and reputational damage, any of which may have a material adverse effect on our business, financial condition or results of operations.</w:t>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which among other things, impose certain requirements relating to the privacy, security and transmission of personal information, including comprehensive regulatory systems in the U.S., EU and United Kingdom. The regulatory framework for the collection, use, safeguarding, sharing, transfer and other processing of information worldwide is rapidly evolving and is likely to remain uncertain for the foreseeable future. Failure to comply with any of these laws and regulations could result in enforcement action against us, including fines, claims for damages by affected individuals, damage to our reputation and loss of goodwill, any of which could have a material adverse effect on our business, financial condition, results of operations or prospects.</w:t>
      </w:r>
    </w:p>
    <w:p>
      <w:pPr>
        <w:spacing w:after="0" w:line="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related to the privacy and security of personal information that may be applicable to our current and future activities, and a wide range of enforcement agencies at both the state and federal levels that can review companies for privacy and data security concerns based on general consumer protection laws. The FTC and state Attorneys General are all aggressive in reviewing privacy and data security protections for consumers. New laws also are being 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spacing w:after="0" w:line="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existing laws, a broad range of legislative measures have been introduced at both the federal and state levels. For example, the California Consumer Privacy Act, or CCPA, which went into effect on January 1, 2020, imposed many requirements on businesses that process the personal information of California residents,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Additionally, in November 2020, California voters approved a new privacy law, the California Privacy Rights Act, or CPRA, which expands the CCPA to incorporate additional provisions, including requiring that the use,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Most CPRA provisions took effect on January 1, 2023, though the obligations apply to any personal information collected after January 1, 2022.</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California, several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Other states will be considering these laws in the future, and Congress has also been debating passing a federal privacy law. These laws may impact our business activities, including our identification of research subjects, relationships with business partners and ultimately the marketing and distribution of our products.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wide range of enforcement agencies at both the state and federal levels can review companies for privacy and data security concerns based on general consumer protection laws. For example, the FTC and state Attorneys General are aggressive in reviewing privacy and data security protections for consumers. In addition to the risks associated with enforcement activities, there also is the threat of consumer class actions related to these laws and the overall protection of personal data. Even if we are not determined to have violated the law, government investigations into these issues typically require the expenditure of significant resources and generate negative publicity, which could harm our reputation and our business.</w:t>
      </w:r>
    </w:p>
    <w:p>
      <w:pPr>
        <w:spacing w:after="0" w:line="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For example, the collection, use, disclosure, transfer, or other processing of personal data, including personal health data, regarding individuals who are located in the European Economic Area, or the EEA, is subject to the EU General Data Protection Regulation, or the GDPR, which took effect across all member states of the EEA in May 2018. The GDPR is wide-ranging in scope and imposes numerous requirements on companies that process personal data, including strict rules on the transfer of personal data to countries outside the European Union, including the United States. The GDPR also permits data protection authorities to require destruction of improperly gathered or used personal information and/or impose substantial fines for violations of the GDPR, which can be up to four percent of annual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 As a result, there is increased scrutiny on the extent to which clinical trial sites located in the EEA should apply the GDPR to transfers of personal data from such sites to countries that are considered to lack an adequate level of data protection, such as the United States. There are also open questions about how personal data will be protected in the United Kingdom and whether personal information can transfer from the EU to the United Kingdom.</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October 2022, President Biden signed an executive order to implement the EU-U.S. Data Privacy Framework, which serves as a replacement to the EU-U.S. Privacy Shield. The European Commission adopted the adequacy decision on July 10, 2023. The adequacy decision permits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or there are other developments involving the arrangements that underlie this framework, they may not only impact the EU-U.S. Data Privacy Framework, but also further limit the viability of the standard contractual clauses and other data transfer mechanisms. The uncertainty around this issue has the potential to impact our business.</w:t>
      </w:r>
    </w:p>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These evolving compliance and operational requirements impose significant costs that are likely to increase over time. Preparing for and complying with such requirements is rigorous and time intensive. It requires significant resources and a review of our technologies, systems and practices, as well as those of any third-party collaborators, service providers, contractors or consultants that process or transfer personal data, and may require us to modify our data processing practices and policies, divert resources from other initiatives and projects, and restrict the way products and services involving data are offered. Further, current and future laws or regulations associated with the enhanced protection of certain types of sensitive data, such as healthcare data or other personal information from our clinical trials, could require us to change our business practices and put in place additional compliance mechanisms, interrupt or delay our development, regulatory and commercialization activities and increase our cost of doing business, and could lead to government enforcement actions, private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litigation and significant fines and penalties against us. Any of these events could have a material adverse effect on our business, financial condition, results of operations and prospects.</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control, import, sanctions, anti-corruption, and anti-money laundering laws with respect to our operations and non-compliance with such laws can subject us to criminal and/or civil liability and harm our business.</w:t>
      </w:r>
    </w:p>
    <w:p>
      <w:pPr>
        <w:spacing w:after="0" w:line="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or the FCPA, the U.S. domestic bribery statute contained in 18 U.S.C. § 201, the U.S. Travel Act, the USA PATRIOT Act, and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may have direct or indirect interactions with officials and employees of government agencies or government-affiliated hospitals, universities and other organizations.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Noncompliance with the laws and regulations described above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and uncertainty surrounding U.S. and international trade policies could have a material adverse impact on our business, financial condition and results of operations.</w:t>
      </w:r>
    </w:p>
    <w:p>
      <w:pPr>
        <w:spacing w:after="0" w:line="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As a result of numerous changes in tariffs and trade restrictions that have been announced and/or implemented by the Trump administration since taking office, and other countries in response to Trump administration actions, and the underlying uncertainty currently surrounding international trade, we could experience a negative impact on our costs of materials or supply chain disruptions and delays.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rendered infeasible, and regulatory approval or commercial launch of any resulting product may be delayed, which could significantly harm our business. We cannot yet predict the effect of recently imposed U.S. tariffs, or of possible future U.S. tariffs, including, but not limited to, tariffs on pharmaceuticals, pharmaceutical ingredients, including finished drug products, medical countermeasures, critical inputs such as active pharmaceutical ingredients (API) and key starting materials, and derivative products of those items,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respect to China, may adversely impact our business and operating results.</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Trade tensions and conflicts between the United States and China have been escalating in recent years and, as such, we are exposed to the possibility of product supply disruption and increased costs and expenses in the event of changes to the laws, rules, regulations and policies of the governments of the United States or China, or as a result of geopolitical unrest or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For example, in February 2024, U.S. lawmakers called for investigations into and the imposition of possible trade sanctions against certain Chinese biotechnology companies, including WuXi AppTec and WuXi Biologics, or collectively WuXi, over alleged ties to the Chinese military. Sustained uncertainty about or further escalating trade and political tensions between the United States and China may prevent or hinder the export of materials or technical information between us and third parties, such as pharmaceutical partners, or could result in trade or retaliatory restrictions that may hinder or potentially inhibit our ability to rely on contract CDMOs and other service providers that operate in China. These third parties may voluntarily require compliance or supply chain requirements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go above and beyond potential legislation to address perceived risk of “pass through,” which would make it difficult for us to operate our business.</w:t>
      </w:r>
    </w:p>
    <w:p>
      <w:pPr>
        <w:spacing w:after="0" w:line="1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December 2025, Congress enacted a law that, subject to certain grandfather provisions, will prohibit U.S. federal agencies from procuring or obtaining “biotechnology equipment or services” from certain Chinese companies designated as “biotechnology companies of concern.” It will also prohibit U.S. federal agencies from entering into, extending or renewing contracts with any entity that either uses biotechnology equipment or services provided by a designated biotechnology company of concern in performance of the contract or enters into any contract with a third party that requires either party to use biotechnology equipment or services produced or provided by a biotechnology company of concern. It also prohibits an executive agency from obligating or expending a loan or grant to procure biotechnology equipment or services produced or provided by a designated biotechnology company of concern. Regulatory or legislative action taken by the U.S. government to impose restrictions on transactions with China, like the restrictions described above, could have the potential to severely restrict the ability of companies like ours to contract with Chinese biotechnology companies of concern, which could have adverse effects on the development of our product candidates and our business operations.</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unfavorable government policies on international trade, such as export controls, capital controls or tariffs, may increase the cost of manufacturing our product candidates and platform materials, affect the demand for our drug products (if and once approved), the competitive position of our product candidates, and the import or export of raw materials and finished product candidate used in our and our collaborators’ preclinical studies and clinical trials, particularly with respect to any product candidates and materials that we import from China. If any new tariffs, export controls, legislation and/or regulations are implemented, or if existing trade agreements are renegotiated or, in particular, if either the U.S. or Chinese government takes retaliatory trade actions due to the recent trade tension, such changes could have an adverse effect on our business, financial condition and results of operations.</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however this insurance may not provide adequate coverage against potential liabilities. We do not maintain insurance for environmental liability or toxic tort claims that may be asserted against us.</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CROs, consultants, commercial partners, vendors and principal investigators may engage in misconduct or other improper activities, including non-compliance with regulatory standards and requirements.</w:t>
      </w:r>
    </w:p>
    <w:p>
      <w:pPr>
        <w:spacing w:after="0" w:line="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are exposed to the risk of fraud or other misconduct by our employees, independent contractors, CROs, consultants, commercial partners, vendors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Such misconduct also could involve the improper use of information obtained in the course of clinical trials or interactions with the FDA or other regulatory authorities, which could result in regulatory sanctions and cause serious harm to our reputation. Even with appropriate policies and procedures, it is not always possible to identify and deter misconduct, and the precautions we take to detect and prevent such activity may not be effective in controlling unknown or unmanaged risks or losses or in protecting us from government investigations or other actions or lawsuits stemming from a failure to comply with these laws or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industry is subject to extensive regulatory obligations and policies that may be subject to change, including due to judicial challenges, election cycles, and resulting regulatory updates and changes in policy priorities.</w:t>
      </w:r>
    </w:p>
    <w:p>
      <w:pPr>
        <w:spacing w:after="0" w:line="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June 2024, the U.S. Supreme Court issued an opinion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holding that courts reviewing agency action pursuant to the Administrative Procedure Act “must exercise their independent judgment” and “may not defer to an agency interpretation of the law simply because a statute is ambiguous.” The decision has impacted how lower courts evaluate challenges to agency interpretations of law, including those by the FDA, HHS, CMS and other agencies with significant oversight of the biopharmaceutical industry. This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federal agency activities, priorities, leadership, policies, rulemaking, communications, spending and staffing may be significantly impacted by election cycles and legislative developments. For example, the current presidential administration aims to significantly reduce government spending through cuts to federal healthcare programs and reductions in the workforces of key government agencies, such as the FDA, HHS, and CMS. Efforts by the current administration to limit federal agency budgets or personnel may result in reductions to agency budgets, employees and operations. The administration and agencies have also made abrupt announcements about new or changed regulatory policies, such as policies related to use of artificial intelligence to review product applications. Additionally, any federal government shutdowns may prevent the FDA or other regulatory authorities from conducting their regular inspections, reviews or other regulatory activities, and may significantly impact the ability of the FDA to timely review and process our regulatory submissions. These developments may lead to slower response times and longer review periods, potentially affecting our ability to progress development of our product candidates or obtain regulatory approval for our product candidates. Any resulting changes in regulation may result in unexpected delays, increased costs, or other negative impacts on our business that are difficult to predict.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the management, research and development, clinical, financial and business development expertise of our executive officers, as well as the other members of our scientific and clinical teams. Although we have employment offer letters which outline the terms of employment with each of our executive officers, each of them may terminate their employment with us at any time. As such, these employment offer letters do not guarantee our retention of our executive officers for any period of time. We do not maintain “key person” insurance for any of our employees.</w:t>
      </w:r>
    </w:p>
    <w:p>
      <w:pPr>
        <w:spacing w:after="0" w:line="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are successful in obtaining marketing approval for our product candidates,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other key employees may be difficult and may take an extended period of time because of the limited number of individuals in our industry with the breadth of skills and experience required to successfully develop, gain regulatory approval for and commercialize our product candidates. We are based in the Boston area, a region that is home to many other biopharmaceutical companies as well as many academic and research institutions, resulting in fierce competition for qualified personnel. 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could harm our business, prospects,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the growth of our organization, which could disrupt our operations.</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March 31, 2026, we had 14 employees. In February 2026, we implemented a reduction in force affecting approximately 64% of our workforce as part of a restructuring plan intended to better align our resources with our pursuit of strategic alternatives. Additional risks associated with the continuing impact of our restructuring plan include employee attrition beyond our intended reduction-in-force and adverse effects on employee morale, diversion of management attention, and adverse effects to our reputation as an employer (which could make it more difficult for us to hire employees in the future). If we do not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realize the expected benefits of our restructuring plan on a timely basis or at all, our business, results of operations and financial condition could be adversely affected.</w:t>
      </w:r>
    </w:p>
    <w:p>
      <w:pPr>
        <w:spacing w:after="0" w:line="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Over the next few years, assuming we are able to raise sufficient capital, we expect to experience significant growth in the number of our employees and the scope of our operations, particularly in the areas of clinical development, regulatory affairs, finance and, if any of our product candidates receive marketing approval, sales, marketing and distribution. Our management may need to divert a disproportionate amount of its attention away from our day-to-day activities to devote time to managing these growth activities. To manage these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Our inability to effectively manage the expansion of our operations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expected growth, our expenses may increase more than expected, our potential ability to generate revenue could be reduced and we may not be able to implement our business strategy.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cyberattacks or a deficiency in our cybersecurity.</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 cyberattack or similar incident could occur and result in information theft, data corruption, operational disruption, damage to our reputation, or financial loss. We are increasingly dependent on information technology systems and infrastructure, including mobile technologies, to operate our business. Our technologies, systems, networks, or other proprietary information, and those of our vendors, suppliers and other business partners, may become the target of cyberattacks or information security breaches that could result in the unauthorized release, gathering, monitoring, misuse, loss, or destruction of proprietary and other information, or could otherwise lead to the disruption of our business operations.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Moreover, certain cyber incidents, such as surveillance, may remain undetected for an extended period and could lead to disruptions in critical systems or the unauthorized release of confidential or otherwise protected information. These events could lead to financial loss due to remedial actions, loss of business, disruption of operations, damage to our reputation, or potential liability. Our systems and insurance coverage for protecting against cybersecurity risks may not be sufficient. Furthermore, as cyberattacks continue to evolve, we may be required to expend significant additional resources to continue to modify or enhance our protective measures or to investigate and remediate any vulnerability to cyberattacks.</w:t>
      </w:r>
    </w:p>
    <w:p>
      <w:pPr>
        <w:spacing w:after="0" w:line="7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vendors, and consultants may be vulnerable to damage from cybersecurity risks, including attempts to gain unauthorized access to and to harm sensitive or confidential information and networks, insider threats, and ransomware. These vulnerabilities may be heightened as a result of flexible work arrangements, including hybrid or remote work policies implemented by us and our third-party contractors, that were first adopted in response to the COVID-19 pandemic and have continued by many businesses in an effort to attract and retain talent.</w:t>
      </w:r>
    </w:p>
    <w:p>
      <w:pPr>
        <w:spacing w:after="0" w:line="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Investigations into and remedial efforts in connection with any security incidents, even those with immaterial impact, can be costly and time-consuming and could be material, or cause significant disruption, to our business. For example, the loss of clinical trial data from ongoing or future clinical trials could result in delays in our regulatory approval efforts and significantly increase our costs to recover or reproduce the data. Likewise, we rely on third parties for research and development, the manufacture and supply of drug product and drug substance and to conduct clinical trials. We depend on these third parties to implement adequate controls and safeguards to protect against and report cybersecurity incidents. If they fail to do so, we may suffer financial and other harm, including to our information, operations, performance, and reputation. To the extent that any disruption or security breach were to result in a loss of, or damage to, our data or systems, or inappropriate disclosure of confidential or proprietary information, we could incur liability and the further development and commercialization of our product candidates could be delayed.</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Cybersecurity threats, both on premises and in the cloud, are evolving and include, but are not limited to: malicious software, destructive malware, ransomware, attempts to gain unauthorized access to systems or data, disruption to operations, critical systems or denial of service attacks; unauthorized release of confidential, personal or otherwise protected information; corruption of data, networks or systems; harm to individuals; and loss of assets. In addition, we could be impacted by cybersecurity threats or other disruptions or vulnerabilities found in products or services we use that are provided to us by third parties. The techniques used by criminal elements to attack computer systems are sophisticated, change frequently and may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originate from less regulated and remote areas of the world. As a result, we may not be able to address these techniques proactively or implement adequate preventative measures. These events, if not prevented or effectively mitigated, could damage our reputation, require remedial actions and lead to loss of business, regulatory actions, potential liability and other financial losses.</w:t>
      </w:r>
    </w:p>
    <w:p>
      <w:pPr>
        <w:spacing w:after="0" w:line="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data breaches must also be reported to affected individuals and various government and/or regulatory agencies, and in some cases to the media, under provisions of HIPAA, as amended by HITECH, other U.S. federal and state law, and requirements of non-U.S. jurisdictions, including the European Union Data Protection Directive, and financial penalties may also apply.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breaches, failures or disruptions of our infrastructure, catastrophic events and disasters or otherwise. In addition, such insurance may not be available to us in the future on economically reasonable terms, or at all. Further, our insurance may not cover all claims made against us and defending a suit, regardless of its merit, could be costly and divert management’s attention.</w:t>
      </w:r>
    </w:p>
    <w:p>
      <w:pPr>
        <w:spacing w:after="0" w:line="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Business disruptions and unfavorable economic conditions could seriously harm our business, future revenue and financial condition, and could increase our costs and expenses.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depend on our employees, consultants, contract manufacturers, and CROs, and other parties, for the continued operation of our business. Our or their operations could be significantly disrupted by earthquakes, power shortages, telecommunications failures, water shortages, floods, hurricanes, typhoons, fires, ice and snowstorms, extreme weather conditions, medical epidemics or pandemics, wars or other armed conflicts, geopolitical tensions or trade wars, terrorist attacks, and other natural or man-made disasters or business interruptions, for which we are, and they may be, predominantly self-insured. Because we rely on third-party contract manufacturers to produce our product candidates, our ability to obtain clinical supplies of our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unfavorable economic conditions both inside and outside the U.S., including, without limitation, heightened inflation, capital market volatility, interest rate and currency rate fluctuations, any potential economic slowdown or recession, banking disruptions, public health crises such as the COVID-19 pandemic and geopolitical events, including trade wars or civil or political unrest (such as the ongoing war between Ukraine and Russia and conflict in the Middle East), have resulted in a significant disruption of global financial markets. If the disruption persists or deepens, we could experience an increase in our costs and expenses, including an increase in financing costs, and restrictions on our access to potential sources of future capital. If we are unable to raise additional capital when needed or on attractive terms, our business, financial condition, stock price and results of operations could be adversely affected, and we could be forced to delay, reduce or altogether terminate one or more current or future research and development programs. Further, we hold our cash and cash equivalents that we use to meet our working capital and operating expense needs in deposit accounts at multiple financial institutions, and if a financial institution in which we hold such funds fails or is subject to significant adverse conditions in the financial or credit markets, we could be subject to a risk of loss of all or a portion of any uninsured funds or be subject to a delay in accessing all or a portion of such uninsured funds. Any such loss or lack of access to these funds could adversely impact our short-term liquidity and ability to meet our operating expense obligations. In addition, there is a risk that one or more of our current service providers, manufacturers and other partners may not survive such difficult economic times, which could directly affect our ability to attain our operating goals. Any of the foregoing could harm our business, future revenue and financial condition.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internationally, if approved, could materially adversely affect our business.</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7" w:lineRule="exact"/>
        <w:rPr>
          <w:sz w:val="20"/>
          <w:szCs w:val="20"/>
          <w:color w:val="auto"/>
        </w:rPr>
      </w:pPr>
    </w:p>
    <w:p>
      <w:pPr>
        <w:ind w:left="960" w:hanging="398"/>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 foreign countries that differ from those in the United States;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398"/>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harm our future international expansion and operations and, consequently, our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1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fail to comply with the continued listing requirements of Nasdaq, our common stock may be delisted and the price of our common stock and our ability to access the capital markets could be negatively impacted.</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required to comply with the continued listing requirements of the Nasdaq Stock Market LLC, or Nasdaq, including, among other things, maintaining a minimum closing bid price of $1.00 per share, referred to as the minimum bid price requirement. On February 4, 2026, we received a deficiency letter, or the Notice, from the Nasdaq Listing Qualifications Department, or the Staff, notifying us that we had failed to meet the bid price requirement. The Notice has no immediate effect on the listing of our common stock. In accordance with Nasdaq Listing Rule 5810(c)(3)(A), we have an initial period of 180 calendar days, which expires on August 3, 2026, to regain compliance with the bid requirement. To regain compliance, the closing bid price of our common stock must be at least $1.00 per share for a minimum of 10 consecutive business days during this 180 calendar day period, at which time the Staff will provide written notification to us that we comply with the bid requirement, unless the Staff exercises its discretion to extend this ten-day period pursuant to Nasdaq Listing Rule 5810(c)(3)(H).</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are unable to comply with the minimum bid price requirement by August 3, 2026, shares of our common stock could be subject to delisting, which would have a material adverse effect on the market for, and liquidity and price of, our common stock and would adversely affect our ability to raise capital on terms acceptable to us, or at all. Delisting from Nasdaq could also have other negative results, including, without limitation, the potential loss of confidence by investors, customers and employees and fewer business development opportunities. Any delisting of our common stock from Nasdaq would also make it more difficult for our stockholders to sell their shares of our common stock in the public market.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be subject to volatility related or unrelated to our operations.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stock price is likely to be volatile. For example, from January 1, 2025, until May 1, 2026, our stock price has ranged from $0.53 to $2.38. The stock market in general and the market for biotechnology and pharmaceutical companies in particular have experienced extreme volatility that has often been unrelated to the operating performance of particular companies. As a result of</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this volatility, investors may not be able to sell their common stock at an attractive price or at all. The market price for our common stock may be influenced by many factors, including:</w:t>
      </w:r>
    </w:p>
    <w:p>
      <w:pPr>
        <w:spacing w:after="0" w:line="57" w:lineRule="exact"/>
        <w:rPr>
          <w:sz w:val="20"/>
          <w:szCs w:val="20"/>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preclinical studies;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commencement, enrollment or results of any clinical trials we may conduct, or changes in the development status of our product candidates;</w:t>
      </w:r>
    </w:p>
    <w:p>
      <w:pPr>
        <w:spacing w:after="0" w:line="122" w:lineRule="exact"/>
        <w:rPr>
          <w:rFonts w:ascii="Times New Roman" w:cs="Times New Roman" w:eastAsia="Times New Roman" w:hAnsi="Times New Roman"/>
          <w:sz w:val="17"/>
          <w:szCs w:val="17"/>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delays in initiating or completing, or termination of clinical trials;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from, or regulatory approval of, a competitor’s product candidate;</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11"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market acceptance of our product candidates following approval for commercialization;</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product or inability to do so at acceptable prices;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our competitors;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stock;</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accounting standards;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biotechnology and pharmaceutical industry;</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 and product candidates;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to healthcare laws or pharmaceutical pricing in the United States or foreign jurisdictions, or speculation regarding such changes;</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including the imposition of new or revised global trade tariffs; and</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This risk is especially relevant for us because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biopharmaceutical companies have experienced significant stock price volatility in recent years. Such litigation, if instituted against us, could cause us to incur substantial costs and divert management’s attention and resources from our business.</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our company, or if they issue unfavorable or inaccurate research regarding our business, our share price and trading volume could decline.</w:t>
      </w:r>
    </w:p>
    <w:p>
      <w:pPr>
        <w:spacing w:after="0" w:line="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securities or industry analysts publish about us or our business. We do not have research control over these analysts. There can be no assurance that existing analysts will continue to cover us or that new analysts will begin to cover us. There is also no assurance that any covering analysts with provide favorable coverage. Although we have obtained coverage, if one or more of the analysts covering us downgrades our stock or publishes unfavorable or inaccurate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exert significant control over matters subject to stockholder approval.</w:t>
      </w:r>
    </w:p>
    <w:p>
      <w:pPr>
        <w:spacing w:after="0" w:line="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executive officers, directors, holders of 5% or more of our common stock and their respective affiliates beneficially own a significant portion of our outstanding common stock.</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their share ownership, these stockholders, if they act together, have the ability to influence our management and policies and are able to significantly affect the outcome of matters requiring stockholder approval such as elections of directors, amendments of our organizational documents or approvals of any merger, sale of assets or other major corporate transaction. This may prevent or discourage unsolicited acquisition proposals or offers for our common stock that our stockholders may feel are in their best interest.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this concentration of ownership might adversely affect the market price of our common stock by:</w:t>
      </w:r>
    </w:p>
    <w:p>
      <w:pPr>
        <w:spacing w:after="0" w:line="111" w:lineRule="exact"/>
        <w:rPr>
          <w:sz w:val="20"/>
          <w:szCs w:val="20"/>
          <w:color w:val="auto"/>
        </w:rPr>
      </w:pPr>
    </w:p>
    <w:p>
      <w:pPr>
        <w:ind w:left="960" w:hanging="398"/>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regarding use of our cash and cash equivalents, and we may use them in ways that do not enhance our operating results or the market price of our common stock.</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has broad discretion in the application of our cash and cash equivalents. We could utilize our cash and cash equivalents in ways our stockholders may not agree with or that do not yield a favorable return, if any, and our management might not apply our cash and cash equivalents in ways that ultimately increase the value of our stockholders’ investments. If we do not utilize our cash and cash equivalents in ways that enhance stockholder value, we may fail to achieve expected financial results, which could cause our stock price to decline.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has devoted and will continue to be required to devote substantial time to new compliance initiatives and corporate governance practices.</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previously incur as a private company. The Sarbanes-Oxley Act of 2002, or the Sarbanes-Oxley Act, the Dodd-Frank Wall Street Reform and Consumer Protection Act, Nasdaq listing requirements, and other applicable securities rules and regulations impose various requirements on public companies, including establishment and maintenance of effective disclosure and financial controls and corporate governance practices. Our management and other personnel have and will need to continue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compared to when we were a private company.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continually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Pursuant to Section 404 of the Sarbanes-Oxley Act, or Section 404, we are required to furnish a report by our management on our internal control over financial reporting. However, while we remain an emerging growth company or a smaller reporting company with less than $100.0 million in annual revenue,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past, we have identified material weaknesses in our internal control over financial reporting. All material weaknesses previously identified have been fully remediated.</w:t>
      </w:r>
    </w:p>
    <w:p>
      <w:pPr>
        <w:spacing w:after="0" w:line="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harm our business and have a negative effect on the trading price of our stock.</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Jumpstart Our Business Startups Act, or the JOBS Act, enacted in April 2012 or a smaller reporting company with less than $100.0 million in annual revenue, our independent registered public accounting firm will not be required to attest to the effectiveness of our internal control over financial reporting pursuant to Section 404. We could be an emerging growth company for up to five years. An independent assessment of the effectiveness of our internal control over financial reporting</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could detect problems that our management’s assessment might not. Undetected material weaknesses in our internal control over financial reporting could lead to financial statement restatements and require us to incur the expense of remediation, which could have a negative effect on the trading price of our 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 over financial reporting,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Provisions in our restated certificate of incorporation, or our certificate of incorporation, and our second amended and restated bylaws, or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1" w:lineRule="exact"/>
        <w:rPr>
          <w:sz w:val="20"/>
          <w:szCs w:val="20"/>
          <w:color w:val="auto"/>
        </w:rPr>
      </w:pPr>
    </w:p>
    <w:p>
      <w:pPr>
        <w:ind w:left="960" w:hanging="398"/>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1"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7" w:lineRule="exact"/>
        <w:rPr>
          <w:rFonts w:ascii="Times New Roman" w:cs="Times New Roman" w:eastAsia="Times New Roman" w:hAnsi="Times New Roman"/>
          <w:sz w:val="18"/>
          <w:szCs w:val="18"/>
          <w:color w:val="auto"/>
        </w:rPr>
      </w:pPr>
    </w:p>
    <w:p>
      <w:pPr>
        <w:ind w:left="960" w:right="20" w:hanging="398"/>
        <w:spacing w:after="0" w:line="274" w:lineRule="auto"/>
        <w:tabs>
          <w:tab w:leader="none" w:pos="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7" w:lineRule="exact"/>
        <w:rPr>
          <w:rFonts w:ascii="Times New Roman" w:cs="Times New Roman" w:eastAsia="Times New Roman" w:hAnsi="Times New Roman"/>
          <w:sz w:val="18"/>
          <w:szCs w:val="18"/>
          <w:color w:val="auto"/>
        </w:rPr>
      </w:pPr>
    </w:p>
    <w:p>
      <w:pPr>
        <w:ind w:left="960" w:hanging="398"/>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1" w:lineRule="exact"/>
        <w:rPr>
          <w:rFonts w:ascii="Times New Roman" w:cs="Times New Roman" w:eastAsia="Times New Roman" w:hAnsi="Times New Roman"/>
          <w:sz w:val="18"/>
          <w:szCs w:val="18"/>
          <w:color w:val="auto"/>
        </w:rPr>
      </w:pPr>
    </w:p>
    <w:p>
      <w:pPr>
        <w:jc w:val="both"/>
        <w:ind w:left="960" w:hanging="398"/>
        <w:spacing w:after="0" w:line="259" w:lineRule="auto"/>
        <w:tabs>
          <w:tab w:leader="none" w:pos="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two-thirds of the votes that all our stockholders would be entitled to cast to amend or repeal specified provisions of our certificate of incorporation or bylaws.</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 and increase the costs to our stockholders of bringing such claims.</w:t>
      </w:r>
    </w:p>
    <w:p>
      <w:pPr>
        <w:spacing w:after="0" w:line="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restated certificate of incorporation provides that, unless we consent in writing to the selection of an alternative forum, the Court of Chancery of the State of Delaware (or, if the Court of Chancery of the State of Delaware does not have jurisdiction,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federal district court for the District of Delaware) will be the sole and exclusive forum for the following types of actions or proceedings under Delaware statutory or common law:</w:t>
      </w:r>
    </w:p>
    <w:p>
      <w:pPr>
        <w:spacing w:after="0" w:line="57" w:lineRule="exact"/>
        <w:rPr>
          <w:sz w:val="20"/>
          <w:szCs w:val="20"/>
          <w:color w:val="auto"/>
        </w:rPr>
      </w:pPr>
    </w:p>
    <w:p>
      <w:pPr>
        <w:ind w:left="960" w:hanging="398"/>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1"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employees or stockholders to our company or our stockholders;</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as to which the DGCL confers jurisdiction on the Court of Chancery of the State of Delaware; or</w:t>
      </w:r>
    </w:p>
    <w:p>
      <w:pPr>
        <w:spacing w:after="0" w:line="57" w:lineRule="exact"/>
        <w:rPr>
          <w:rFonts w:ascii="Times New Roman" w:cs="Times New Roman" w:eastAsia="Times New Roman" w:hAnsi="Times New Roman"/>
          <w:sz w:val="18"/>
          <w:szCs w:val="18"/>
          <w:color w:val="auto"/>
        </w:rPr>
      </w:pPr>
    </w:p>
    <w:p>
      <w:pPr>
        <w:ind w:left="960" w:hanging="398"/>
        <w:spacing w:after="0" w:line="274" w:lineRule="auto"/>
        <w:tabs>
          <w:tab w:leader="none" w:pos="9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our certificate of incorporation or bylaws (in each case, as they may be amended from time to time) or governed by the internal affairs doctrine.</w:t>
      </w:r>
    </w:p>
    <w:p>
      <w:pPr>
        <w:spacing w:after="0" w:line="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These choice of forum provisions will not apply to suits brought to enforce a duty or liability created by the Exchange Act. Furthermore, Section 22 of the Securities Act creates concurrent jurisdiction for federal and state courts over all such Securities Act actions, and investors cannot waive compliance with the federal securities laws and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restated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exclusive forum provisions may limit the ability of our stockholders to bring a claim in a judicial forum that such stockholders find favorable for disputes with us or our directors, officers or employees, and increase the costs to such stockholders of bringing such a claim, either of which may discourage such lawsuits against us and our directors, officers and employees. If a court were to find either exclusive forum provision contained in our restated certificate of incorporation to be inapplicable or unenforceable in an action, we may incur further significant additional costs associated with resolving such action in other jurisdictions, all of which could materially adversely affect our business, financial condition and operating results.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4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9880" w:type="dxa"/>
            <w:vAlign w:val="bottom"/>
            <w:gridSpan w:val="16"/>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1"/>
        </w:trPr>
        <w:tc>
          <w:tcPr>
            <w:tcW w:w="420" w:type="dxa"/>
            <w:vAlign w:val="bottom"/>
            <w:tcBorders>
              <w:top w:val="single" w:sz="8" w:color="auto"/>
            </w:tcBorders>
            <w:gridSpan w:val="3"/>
          </w:tcPr>
          <w:p>
            <w:pPr>
              <w:ind w:left="20"/>
              <w:spacing w:after="0" w:line="182"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80" w:type="dxa"/>
            <w:vAlign w:val="bottom"/>
            <w:tcBorders>
              <w:top w:val="single" w:sz="8" w:color="auto"/>
            </w:tcBorders>
            <w:gridSpan w:val="16"/>
          </w:tcPr>
          <w:p>
            <w:pPr>
              <w:spacing w:after="0" w:line="182"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w:t>
              </w:r>
            </w:hyperlink>
          </w:p>
        </w:tc>
      </w:tr>
      <w:tr>
        <w:trPr>
          <w:trHeight w:val="179"/>
        </w:trPr>
        <w:tc>
          <w:tcPr>
            <w:tcW w:w="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0" w:type="dxa"/>
            <w:vAlign w:val="bottom"/>
            <w:tcBorders>
              <w:top w:val="single" w:sz="8" w:color="0000FF"/>
            </w:tcBorders>
            <w:gridSpan w:val="10"/>
          </w:tcPr>
          <w:p>
            <w:pPr>
              <w:spacing w:after="0" w:line="17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8-K, filed with the Securities and Exchange Commission on May 5, 2021, File No. 001-40366).</w:t>
              </w:r>
            </w:hyperlink>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20" w:type="dxa"/>
            <w:vAlign w:val="bottom"/>
            <w:gridSpan w:val="3"/>
          </w:tcPr>
          <w:p>
            <w:pPr>
              <w:ind w:left="20"/>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gridSpan w:val="16"/>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Third Amended and Restated Bylaws of the Registrant (incorporated by reference to Exhibit 3.1 to the Registrant’s Current Report on</w:t>
              </w:r>
            </w:hyperlink>
          </w:p>
        </w:tc>
      </w:tr>
      <w:tr>
        <w:trPr>
          <w:trHeight w:val="179"/>
        </w:trPr>
        <w:tc>
          <w:tcPr>
            <w:tcW w:w="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0" w:type="dxa"/>
            <w:vAlign w:val="bottom"/>
            <w:tcBorders>
              <w:top w:val="single" w:sz="8" w:color="0000FF"/>
              <w:bottom w:val="single" w:sz="8" w:color="0000FF"/>
            </w:tcBorders>
            <w:gridSpan w:val="5"/>
          </w:tcPr>
          <w:p>
            <w:pPr>
              <w:spacing w:after="0" w:line="179" w:lineRule="exact"/>
              <w:rPr>
                <w:rFonts w:ascii="Times New Roman" w:cs="Times New Roman" w:eastAsia="Times New Roman" w:hAnsi="Times New Roman"/>
                <w:sz w:val="18"/>
                <w:szCs w:val="18"/>
                <w:color w:val="0000FF"/>
                <w:w w:val="97"/>
              </w:rPr>
            </w:pPr>
            <w:hyperlink r:id="rId112">
              <w:r>
                <w:rPr>
                  <w:rFonts w:ascii="Times New Roman" w:cs="Times New Roman" w:eastAsia="Times New Roman" w:hAnsi="Times New Roman"/>
                  <w:sz w:val="18"/>
                  <w:szCs w:val="18"/>
                  <w:color w:val="0000FF"/>
                  <w:w w:val="97"/>
                </w:rPr>
                <w:t>Form 8-K, filed with the Securities and Exchange Commission on June 13, 2025).</w:t>
              </w:r>
            </w:hyperlink>
          </w:p>
        </w:tc>
        <w:tc>
          <w:tcPr>
            <w:tcW w:w="3640" w:type="dxa"/>
            <w:vAlign w:val="bottom"/>
            <w:tcBorders>
              <w:top w:val="single" w:sz="8" w:color="0000FF"/>
            </w:tcBorders>
            <w:gridSpan w:val="6"/>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2"/>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4"/>
              </w:rPr>
              <w:t>10.</w:t>
            </w:r>
            <w:r>
              <w:rPr>
                <w:rFonts w:ascii="Times New Roman" w:cs="Times New Roman" w:eastAsia="Times New Roman" w:hAnsi="Times New Roman"/>
                <w:sz w:val="18"/>
                <w:szCs w:val="18"/>
                <w:u w:val="single" w:color="auto"/>
                <w:color w:val="0000FF"/>
                <w:w w:val="94"/>
              </w:rPr>
              <w:t>1*+</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Offer Letter, dated as of April 19, 2023, as amended by addendum dated June 12, 2023, by and between the Registrant and Michael</w:t>
            </w:r>
          </w:p>
        </w:tc>
      </w:tr>
      <w:tr>
        <w:trPr>
          <w:trHeight w:val="166"/>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60" w:type="dxa"/>
            <w:vAlign w:val="bottom"/>
            <w:tcBorders>
              <w:top w:val="single" w:sz="8" w:color="0000FF"/>
            </w:tcBorders>
            <w:gridSpan w:val="15"/>
          </w:tcPr>
          <w:p>
            <w:pPr>
              <w:spacing w:after="0" w:line="165" w:lineRule="exact"/>
              <w:rPr>
                <w:sz w:val="20"/>
                <w:szCs w:val="20"/>
                <w:color w:val="auto"/>
              </w:rPr>
            </w:pPr>
            <w:r>
              <w:rPr>
                <w:rFonts w:ascii="Times New Roman" w:cs="Times New Roman" w:eastAsia="Times New Roman" w:hAnsi="Times New Roman"/>
                <w:sz w:val="18"/>
                <w:szCs w:val="18"/>
                <w:color w:val="0000FF"/>
              </w:rPr>
              <w:t>Urban.</w:t>
            </w:r>
          </w:p>
        </w:tc>
        <w:tc>
          <w:tcPr>
            <w:tcW w:w="20" w:type="dxa"/>
            <w:vAlign w:val="bottom"/>
          </w:tcPr>
          <w:p>
            <w:pPr>
              <w:spacing w:after="0"/>
              <w:rPr>
                <w:sz w:val="14"/>
                <w:szCs w:val="14"/>
                <w:color w:val="auto"/>
              </w:rPr>
            </w:pPr>
          </w:p>
        </w:tc>
      </w:tr>
      <w:tr>
        <w:trPr>
          <w:trHeight w:val="20"/>
        </w:trPr>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4"/>
              </w:rPr>
              <w:t>10.</w:t>
            </w:r>
            <w:r>
              <w:rPr>
                <w:rFonts w:ascii="Times New Roman" w:cs="Times New Roman" w:eastAsia="Times New Roman" w:hAnsi="Times New Roman"/>
                <w:sz w:val="18"/>
                <w:szCs w:val="18"/>
                <w:u w:val="single" w:color="auto"/>
                <w:color w:val="0000FF"/>
                <w:w w:val="94"/>
              </w:rPr>
              <w:t>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Retention Agreement, dated as of February 15, 2026, by and between the Registrant and Daniel J. Hicklin.</w:t>
            </w:r>
          </w:p>
        </w:tc>
      </w:tr>
      <w:tr>
        <w:trPr>
          <w:trHeight w:val="205"/>
        </w:trPr>
        <w:tc>
          <w:tcPr>
            <w:tcW w:w="20" w:type="dxa"/>
            <w:vAlign w:val="bottom"/>
          </w:tcPr>
          <w:p>
            <w:pPr>
              <w:spacing w:after="0"/>
              <w:rPr>
                <w:sz w:val="17"/>
                <w:szCs w:val="17"/>
                <w:color w:val="auto"/>
              </w:rPr>
            </w:pPr>
          </w:p>
        </w:tc>
        <w:tc>
          <w:tcPr>
            <w:tcW w:w="500" w:type="dxa"/>
            <w:vAlign w:val="bottom"/>
            <w:tcBorders>
              <w:top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4"/>
              </w:rPr>
              <w:t>10.</w:t>
            </w:r>
            <w:r>
              <w:rPr>
                <w:rFonts w:ascii="Times New Roman" w:cs="Times New Roman" w:eastAsia="Times New Roman" w:hAnsi="Times New Roman"/>
                <w:sz w:val="18"/>
                <w:szCs w:val="18"/>
                <w:u w:val="single" w:color="auto"/>
                <w:color w:val="0000FF"/>
                <w:w w:val="94"/>
              </w:rPr>
              <w:t>3*+</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top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9"/>
              </w:rPr>
              <w:t>Retention Agreement, dated as of February 16, 2026, by and between the Registrant and Michael Urban.</w:t>
            </w:r>
          </w:p>
        </w:tc>
        <w:tc>
          <w:tcPr>
            <w:tcW w:w="2360" w:type="dxa"/>
            <w:vAlign w:val="bottom"/>
            <w:gridSpan w:val="7"/>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00" w:type="dxa"/>
            <w:vAlign w:val="bottom"/>
            <w:tcBorders>
              <w:top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4"/>
              </w:rPr>
              <w:t>10.</w:t>
            </w:r>
            <w:r>
              <w:rPr>
                <w:rFonts w:ascii="Times New Roman" w:cs="Times New Roman" w:eastAsia="Times New Roman" w:hAnsi="Times New Roman"/>
                <w:sz w:val="18"/>
                <w:szCs w:val="18"/>
                <w:u w:val="single" w:color="auto"/>
                <w:color w:val="0000FF"/>
                <w:w w:val="94"/>
              </w:rPr>
              <w:t>4*+</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80" w:type="dxa"/>
            <w:vAlign w:val="bottom"/>
            <w:tcBorders>
              <w:top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8"/>
              </w:rPr>
              <w:t>Retention Agreement, dated as of February 16, 2026, by and between the Registrant and Steven Bloom.</w:t>
            </w:r>
          </w:p>
        </w:tc>
        <w:tc>
          <w:tcPr>
            <w:tcW w:w="2500" w:type="dxa"/>
            <w:vAlign w:val="bottom"/>
            <w:gridSpan w:val="8"/>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5"/>
        </w:trPr>
        <w:tc>
          <w:tcPr>
            <w:tcW w:w="52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166"/>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Borders>
              <w:top w:val="single" w:sz="8" w:color="0000FF"/>
              <w:bottom w:val="single" w:sz="8" w:color="0000FF"/>
            </w:tcBorders>
            <w:gridSpan w:val="4"/>
          </w:tcPr>
          <w:p>
            <w:pPr>
              <w:spacing w:after="0" w:line="165" w:lineRule="exact"/>
              <w:rPr>
                <w:sz w:val="20"/>
                <w:szCs w:val="20"/>
                <w:color w:val="auto"/>
              </w:rPr>
            </w:pPr>
            <w:r>
              <w:rPr>
                <w:rFonts w:ascii="Times New Roman" w:cs="Times New Roman" w:eastAsia="Times New Roman" w:hAnsi="Times New Roman"/>
                <w:sz w:val="18"/>
                <w:szCs w:val="18"/>
                <w:color w:val="0000FF"/>
                <w:w w:val="97"/>
              </w:rPr>
              <w:t>Adopted Pursuant to Section 302 of the Sarbanes-Oxley Act of 2002.</w:t>
            </w:r>
          </w:p>
        </w:tc>
        <w:tc>
          <w:tcPr>
            <w:tcW w:w="494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5"/>
        </w:trPr>
        <w:tc>
          <w:tcPr>
            <w:tcW w:w="520" w:type="dxa"/>
            <w:vAlign w:val="bottom"/>
            <w:gridSpan w:val="4"/>
          </w:tcPr>
          <w:p>
            <w:pPr>
              <w:ind w:left="20"/>
              <w:spacing w:after="0" w:line="205"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166"/>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0" w:type="dxa"/>
            <w:vAlign w:val="bottom"/>
            <w:tcBorders>
              <w:top w:val="single" w:sz="8" w:color="0000FF"/>
            </w:tcBorders>
            <w:gridSpan w:val="12"/>
          </w:tcPr>
          <w:p>
            <w:pPr>
              <w:spacing w:after="0" w:line="16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5"/>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94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40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8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 Pursuant to 18 U.S.C. Section 1350, as Adopted Pursuant to</w:t>
            </w:r>
          </w:p>
        </w:tc>
      </w:tr>
      <w:tr>
        <w:trPr>
          <w:trHeight w:val="165"/>
        </w:trPr>
        <w:tc>
          <w:tcPr>
            <w:tcW w:w="2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20" w:type="dxa"/>
            <w:vAlign w:val="bottom"/>
            <w:tcBorders>
              <w:top w:val="single" w:sz="8" w:color="0000FF"/>
            </w:tcBorders>
            <w:gridSpan w:val="13"/>
          </w:tcPr>
          <w:p>
            <w:pPr>
              <w:spacing w:after="0" w:line="165"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60" w:type="dxa"/>
            <w:vAlign w:val="bottom"/>
            <w:gridSpan w:val="3"/>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right w:val="single" w:sz="8" w:color="0000FF"/>
            </w:tcBorders>
            <w:gridSpan w:val="5"/>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6500" w:type="dxa"/>
            <w:vAlign w:val="bottom"/>
            <w:gridSpan w:val="14"/>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400" w:type="dxa"/>
            <w:vAlign w:val="bottom"/>
            <w:gridSpan w:val="5"/>
          </w:tcPr>
          <w:p>
            <w:pPr>
              <w:spacing w:after="0" w:line="201" w:lineRule="exact"/>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6"/>
          </w:tcPr>
          <w:p>
            <w:pPr>
              <w:spacing w:after="0" w:line="201"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25"/>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5"/>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5"/>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20" w:type="dxa"/>
            <w:vAlign w:val="bottom"/>
          </w:tcPr>
          <w:p>
            <w:pPr>
              <w:spacing w:after="0"/>
              <w:rPr>
                <w:sz w:val="19"/>
                <w:szCs w:val="19"/>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1"/>
        </w:trPr>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bl>
    <w:p>
      <w:pPr>
        <w:spacing w:after="0" w:line="259" w:lineRule="exact"/>
        <w:rPr>
          <w:sz w:val="20"/>
          <w:szCs w:val="20"/>
          <w:color w:val="auto"/>
        </w:rPr>
      </w:pPr>
    </w:p>
    <w:p>
      <w:pPr>
        <w:ind w:left="1420" w:hanging="1396"/>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4" w:lineRule="exact"/>
        <w:rPr>
          <w:sz w:val="20"/>
          <w:szCs w:val="20"/>
          <w:color w:val="auto"/>
        </w:rPr>
      </w:pPr>
    </w:p>
    <w:p>
      <w:pPr>
        <w:jc w:val="both"/>
        <w:ind w:left="1420" w:right="20" w:hanging="1396"/>
        <w:spacing w:after="0" w:line="218" w:lineRule="auto"/>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are deemed furnished and not filed with the Securities and Exchange Commission and are not to be incorporated by reference into any filing of Werewolf Therapeutics, Inc. under the Securities Act of 1933, as amended, or the Securities Exchange Act of 1934, as amended, whether made before or after the date of this Quarterly Report, irrespective of any general incorporation language contained in such filing.</w:t>
      </w:r>
    </w:p>
    <w:p>
      <w:pPr>
        <w:spacing w:after="0" w:line="3" w:lineRule="exact"/>
        <w:rPr>
          <w:sz w:val="20"/>
          <w:szCs w:val="20"/>
          <w:color w:val="auto"/>
        </w:rPr>
      </w:pPr>
    </w:p>
    <w:p>
      <w:pPr>
        <w:ind w:left="1420" w:hanging="1396"/>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136525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4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WEREWOLF THERAPEUTICS, INC.</w:t>
      </w:r>
    </w:p>
    <w:p>
      <w:pPr>
        <w:spacing w:after="0" w:line="285" w:lineRule="exact"/>
        <w:rPr>
          <w:sz w:val="20"/>
          <w:szCs w:val="20"/>
          <w:color w:val="auto"/>
        </w:rPr>
      </w:pPr>
    </w:p>
    <w:p>
      <w:pPr>
        <w:ind w:left="20"/>
        <w:spacing w:after="0"/>
        <w:tabs>
          <w:tab w:leader="none" w:pos="3720" w:val="left"/>
          <w:tab w:leader="none" w:pos="418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J. Hicklin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14605</wp:posOffset>
            </wp:positionV>
            <wp:extent cx="44843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4484370" cy="8255"/>
                    </a:xfrm>
                    <a:prstGeom prst="rect">
                      <a:avLst/>
                    </a:prstGeom>
                    <a:noFill/>
                  </pic:spPr>
                </pic:pic>
              </a:graphicData>
            </a:graphic>
          </wp:anchor>
        </w:drawing>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Daniel J. Hicklin, Ph.D.</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ind w:left="4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WEREWOLF THERAPEUTICS,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200 Talcott Ave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w:t>
      </w:r>
      <w:r>
        <w:rPr>
          <w:rFonts w:ascii="Times New Roman" w:cs="Times New Roman" w:eastAsia="Times New Roman" w:hAnsi="Times New Roman"/>
          <w:sz w:val="16"/>
          <w:szCs w:val="16"/>
          <w:b w:val="1"/>
          <w:bCs w:val="1"/>
          <w:color w:val="auto"/>
        </w:rPr>
        <w:t>ATERTOWN</w:t>
      </w:r>
      <w:r>
        <w:rPr>
          <w:rFonts w:ascii="Times New Roman" w:cs="Times New Roman" w:eastAsia="Times New Roman" w:hAnsi="Times New Roman"/>
          <w:sz w:val="21"/>
          <w:szCs w:val="21"/>
          <w:b w:val="1"/>
          <w:bCs w:val="1"/>
          <w:color w:val="auto"/>
        </w:rPr>
        <w:t>, MA 02472</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April 19, 2023</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Michael Urban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Via Email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Michael:</w:t>
      </w:r>
    </w:p>
    <w:p>
      <w:pPr>
        <w:spacing w:after="0" w:line="139" w:lineRule="exact"/>
        <w:rPr>
          <w:sz w:val="20"/>
          <w:szCs w:val="20"/>
          <w:color w:val="auto"/>
        </w:rPr>
      </w:pPr>
    </w:p>
    <w:p>
      <w:pPr>
        <w:jc w:val="both"/>
        <w:ind w:right="320" w:firstLine="635"/>
        <w:spacing w:after="0" w:line="269" w:lineRule="auto"/>
        <w:rPr>
          <w:sz w:val="20"/>
          <w:szCs w:val="20"/>
          <w:color w:val="auto"/>
        </w:rPr>
      </w:pPr>
      <w:r>
        <w:rPr>
          <w:rFonts w:ascii="Times New Roman" w:cs="Times New Roman" w:eastAsia="Times New Roman" w:hAnsi="Times New Roman"/>
          <w:sz w:val="21"/>
          <w:szCs w:val="21"/>
          <w:color w:val="auto"/>
        </w:rPr>
        <w:t>On behalf of Werewolf Therapeutics,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 am pleased to offer you employment with the Company. The purpose of this letter is to summarize the terms of your employment with the Company, should you accept our offer:</w:t>
      </w:r>
    </w:p>
    <w:p>
      <w:pPr>
        <w:spacing w:after="0" w:line="159" w:lineRule="exact"/>
        <w:rPr>
          <w:sz w:val="20"/>
          <w:szCs w:val="20"/>
          <w:color w:val="auto"/>
        </w:rPr>
      </w:pPr>
    </w:p>
    <w:p>
      <w:pPr>
        <w:ind w:left="1280" w:hanging="639"/>
        <w:spacing w:after="0"/>
        <w:tabs>
          <w:tab w:leader="none" w:pos="128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be employed to serve on a full-time basis as a VP, Corporate Controller, effective May 15, 2023.</w:t>
      </w:r>
    </w:p>
    <w:p>
      <w:pPr>
        <w:spacing w:after="0" w:line="222" w:lineRule="exact"/>
        <w:rPr>
          <w:rFonts w:ascii="Times New Roman" w:cs="Times New Roman" w:eastAsia="Times New Roman" w:hAnsi="Times New Roman"/>
          <w:sz w:val="21"/>
          <w:szCs w:val="21"/>
          <w:color w:val="auto"/>
        </w:rPr>
      </w:pPr>
    </w:p>
    <w:p>
      <w:pPr>
        <w:jc w:val="both"/>
        <w:ind w:right="320" w:firstLine="641"/>
        <w:spacing w:after="0" w:line="274" w:lineRule="auto"/>
        <w:tabs>
          <w:tab w:leader="none" w:pos="127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base salary will be at the rate of $300,000 per semi-monthly pay period, which is equivalent to an annualized amount of $12,500, subject to tax and other withholdings as required by law. Such base salary may be adjusted from time to time in accordance with normal business practice and in the sole discretion of the Company.</w:t>
      </w:r>
    </w:p>
    <w:p>
      <w:pPr>
        <w:spacing w:after="0" w:line="153" w:lineRule="exact"/>
        <w:rPr>
          <w:rFonts w:ascii="Times New Roman" w:cs="Times New Roman" w:eastAsia="Times New Roman" w:hAnsi="Times New Roman"/>
          <w:sz w:val="21"/>
          <w:szCs w:val="21"/>
          <w:color w:val="auto"/>
        </w:rPr>
      </w:pPr>
    </w:p>
    <w:p>
      <w:pPr>
        <w:jc w:val="both"/>
        <w:ind w:right="320" w:firstLine="641"/>
        <w:spacing w:after="0" w:line="247" w:lineRule="auto"/>
        <w:tabs>
          <w:tab w:leader="none" w:pos="127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end of each fiscal year and subject to the approval of the Board (or a committee thereof), you may be eligible for a discretionary retention and performance bonus of up to 30% of your annualized base salary, subject to tax and other withholdings as required by law, contingent upon your individual performance and the performance of the Company during the applicable fiscal year as determined by the Company’s Board of Directors (or a committee thereof) in its sole discretion. The discretionary performance-based bonus, if any, will be paid annually after the first of the year (but in no event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subject to you being employed with the Company on the payment date, as it also serves as an incentive for you to remain employed at the Company, and will be pro-rated for your first year of employment based on the number of months that you were employed.</w:t>
      </w:r>
    </w:p>
    <w:p>
      <w:pPr>
        <w:spacing w:after="0" w:line="180" w:lineRule="exact"/>
        <w:rPr>
          <w:rFonts w:ascii="Times New Roman" w:cs="Times New Roman" w:eastAsia="Times New Roman" w:hAnsi="Times New Roman"/>
          <w:sz w:val="21"/>
          <w:szCs w:val="21"/>
          <w:color w:val="auto"/>
        </w:rPr>
      </w:pPr>
    </w:p>
    <w:p>
      <w:pPr>
        <w:jc w:val="both"/>
        <w:ind w:right="320" w:firstLine="641"/>
        <w:spacing w:after="0" w:line="266" w:lineRule="auto"/>
        <w:tabs>
          <w:tab w:leader="none" w:pos="127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participate in any and all benefit programs that the Company establishes and makes available to its employees from time to time, provided you are eligible under (and subject to all provisions of) the plan documents governing those programs. The benefit programs made available by the Company, and the rules, terms and conditions for participation in such benefit plans, may be changed by the Company at any time without advance notice.</w:t>
      </w:r>
    </w:p>
    <w:p>
      <w:pPr>
        <w:spacing w:after="0" w:line="161" w:lineRule="exact"/>
        <w:rPr>
          <w:rFonts w:ascii="Times New Roman" w:cs="Times New Roman" w:eastAsia="Times New Roman" w:hAnsi="Times New Roman"/>
          <w:sz w:val="21"/>
          <w:szCs w:val="21"/>
          <w:color w:val="auto"/>
        </w:rPr>
      </w:pPr>
    </w:p>
    <w:p>
      <w:pPr>
        <w:jc w:val="both"/>
        <w:ind w:right="320" w:firstLine="641"/>
        <w:spacing w:after="0" w:line="274" w:lineRule="auto"/>
        <w:tabs>
          <w:tab w:leader="none" w:pos="127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be eligible for 20 paid vacation days, which accrue at the rate of 1.67 days per calendar month of service. After 3 years of service, you will be eligible for 25 days of paid vacation time per year, which accrues at the rate of 2.083 vacation days per calendar month of service. You may carry over 5 days of vacation time per year.</w:t>
      </w:r>
    </w:p>
    <w:p>
      <w:pPr>
        <w:spacing w:after="0" w:line="153" w:lineRule="exact"/>
        <w:rPr>
          <w:rFonts w:ascii="Times New Roman" w:cs="Times New Roman" w:eastAsia="Times New Roman" w:hAnsi="Times New Roman"/>
          <w:sz w:val="21"/>
          <w:szCs w:val="21"/>
          <w:color w:val="auto"/>
        </w:rPr>
      </w:pPr>
    </w:p>
    <w:p>
      <w:pPr>
        <w:jc w:val="both"/>
        <w:ind w:right="320" w:firstLine="641"/>
        <w:spacing w:after="0" w:line="261" w:lineRule="auto"/>
        <w:tabs>
          <w:tab w:leader="none" w:pos="127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approval of the Board of Directors of the Company, the Company will grant to you an incentive stock option (the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granted pursuant to the Company’s 2021 stock Incentive Plan (the “Plan”) for the purchase of 52,500 shares of common stock of the Company at a price per share equal to the fair market value at the time of Board approval. The Option shall be</w:t>
      </w:r>
    </w:p>
    <w:p>
      <w:pPr>
        <w:sectPr>
          <w:pgSz w:w="11900" w:h="16838" w:orient="portrait"/>
          <w:cols w:equalWidth="0" w:num="1">
            <w:col w:w="11240"/>
          </w:cols>
          <w:pgMar w:left="320" w:top="100" w:right="339" w:bottom="1440" w:gutter="0" w:footer="0" w:header="0"/>
        </w:sectPr>
      </w:pPr>
    </w:p>
    <w:bookmarkStart w:id="89" w:name="page90"/>
    <w:bookmarkEnd w:id="89"/>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subject to all terms, vesting schedules and other provisions set forth in the Plan and in a separate option agreement.</w:t>
      </w:r>
    </w:p>
    <w:p>
      <w:pPr>
        <w:spacing w:after="0" w:line="222" w:lineRule="exact"/>
        <w:rPr>
          <w:sz w:val="20"/>
          <w:szCs w:val="20"/>
          <w:color w:val="auto"/>
        </w:rPr>
      </w:pPr>
    </w:p>
    <w:p>
      <w:pPr>
        <w:ind w:firstLine="641"/>
        <w:spacing w:after="0" w:line="298" w:lineRule="auto"/>
        <w:tabs>
          <w:tab w:leader="none" w:pos="127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may also be eligible to receive such future stock option grants as the Board of Directors of the Company shall deem appropriate.</w:t>
      </w:r>
    </w:p>
    <w:p>
      <w:pPr>
        <w:spacing w:after="0" w:line="129" w:lineRule="exact"/>
        <w:rPr>
          <w:rFonts w:ascii="Times New Roman" w:cs="Times New Roman" w:eastAsia="Times New Roman" w:hAnsi="Times New Roman"/>
          <w:sz w:val="21"/>
          <w:szCs w:val="21"/>
          <w:color w:val="auto"/>
        </w:rPr>
      </w:pPr>
    </w:p>
    <w:p>
      <w:pPr>
        <w:jc w:val="both"/>
        <w:ind w:firstLine="641"/>
        <w:spacing w:after="0" w:line="259" w:lineRule="auto"/>
        <w:tabs>
          <w:tab w:leader="none" w:pos="127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You will be required to execute an Invention and Non-Disclosure Agreement and a Non-Competition and Non-Solicitation Agreement in the forms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as a condition of your employment. You acknowledge that your receipt of the grant of equity set forth in paragraph 6 of this offer letter is contingent upon your agreement to the non-competition provisions set forth in the Non-Competition and Non-Solicitation Agreement. You further acknowledge that such consideration was mutually agreed upon by you and the Company and is fair and reasonable in exchange for your compliance with such non-competition obligations.</w:t>
      </w:r>
    </w:p>
    <w:p>
      <w:pPr>
        <w:spacing w:after="0" w:line="172" w:lineRule="exact"/>
        <w:rPr>
          <w:rFonts w:ascii="Times New Roman" w:cs="Times New Roman" w:eastAsia="Times New Roman" w:hAnsi="Times New Roman"/>
          <w:sz w:val="21"/>
          <w:szCs w:val="21"/>
          <w:color w:val="auto"/>
        </w:rPr>
      </w:pPr>
    </w:p>
    <w:p>
      <w:pPr>
        <w:jc w:val="both"/>
        <w:ind w:firstLine="641"/>
        <w:spacing w:after="0" w:line="267" w:lineRule="auto"/>
        <w:tabs>
          <w:tab w:leader="none" w:pos="127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will be eligible to participate in the Werewolf Therapeutics, Inc. Severance Benefits Plan (the “Plan”) in accordance with the terms and conditions of the Plan. The Company reserves the right to amend or terminate the Plan at any time and in any manner in accordance with the terms of the Plan and applicable law.</w:t>
      </w:r>
    </w:p>
    <w:p>
      <w:pPr>
        <w:spacing w:after="0" w:line="174" w:lineRule="exact"/>
        <w:rPr>
          <w:rFonts w:ascii="Times New Roman" w:cs="Times New Roman" w:eastAsia="Times New Roman" w:hAnsi="Times New Roman"/>
          <w:sz w:val="21"/>
          <w:szCs w:val="21"/>
          <w:color w:val="auto"/>
        </w:rPr>
      </w:pPr>
    </w:p>
    <w:p>
      <w:pPr>
        <w:jc w:val="both"/>
        <w:ind w:firstLine="641"/>
        <w:spacing w:after="0" w:line="267" w:lineRule="auto"/>
        <w:tabs>
          <w:tab w:leader="none" w:pos="127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represent that you are not bound by any employment contract, restrictive covenant or other restriction preventing (or that purports to prevent) you from entering into employment with or carrying out your responsibilities for the Company, or which is in any way inconsistent with the terms of this letter.</w:t>
      </w:r>
    </w:p>
    <w:p>
      <w:pPr>
        <w:spacing w:after="0" w:line="161" w:lineRule="exact"/>
        <w:rPr>
          <w:rFonts w:ascii="Times New Roman" w:cs="Times New Roman" w:eastAsia="Times New Roman" w:hAnsi="Times New Roman"/>
          <w:sz w:val="21"/>
          <w:szCs w:val="21"/>
          <w:color w:val="auto"/>
        </w:rPr>
      </w:pPr>
    </w:p>
    <w:p>
      <w:pPr>
        <w:jc w:val="both"/>
        <w:ind w:firstLine="641"/>
        <w:spacing w:after="0" w:line="266" w:lineRule="auto"/>
        <w:tabs>
          <w:tab w:leader="none" w:pos="1263"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agree to provide to the Company, within three days of your hire date, documentation of your eligibility to work in the United States, as required by the Immigration Reform and Control Act of 1986. You may need to obtain a work visa in order to be eligible to work in the United States. If that is the case, your employment with the Company will be conditioned upon your obtaining a work visa in a timely manner as determined by the Company.</w:t>
      </w:r>
    </w:p>
    <w:p>
      <w:pPr>
        <w:spacing w:after="0" w:line="161" w:lineRule="exact"/>
        <w:rPr>
          <w:rFonts w:ascii="Times New Roman" w:cs="Times New Roman" w:eastAsia="Times New Roman" w:hAnsi="Times New Roman"/>
          <w:sz w:val="21"/>
          <w:szCs w:val="21"/>
          <w:color w:val="auto"/>
        </w:rPr>
      </w:pPr>
    </w:p>
    <w:p>
      <w:pPr>
        <w:jc w:val="both"/>
        <w:ind w:firstLine="641"/>
        <w:spacing w:after="0" w:line="257" w:lineRule="auto"/>
        <w:tabs>
          <w:tab w:leader="none" w:pos="127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letter shall not be construed as an agreement, either expressed or implied, to employ you for any stated term, and shall in no way alter the Company’s policy of employment at will, under which both you and the Company remain free to terminate the employment relationship, with or without cause, at any time, with or without notice. Although your job duties, title, compensation and benefits, as well as the Company's personnel policies and procedures, may change from time to time, the “at-will” nature of your employment may only be changed by a written agreement signed by you and the Chief Executive Officer of the Company</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which expressly states the intention to modify the at-will nature of your employment. Similarly, nothing in this letter shall be construed as an agreement, either express or implied, to pay you any compensation or grant you any benefit beyond the end of your employment with the Company except as explicitly provided in paragraph 9 above.</w:t>
      </w:r>
    </w:p>
    <w:p>
      <w:pPr>
        <w:spacing w:after="0" w:line="170" w:lineRule="exact"/>
        <w:rPr>
          <w:rFonts w:ascii="Times New Roman" w:cs="Times New Roman" w:eastAsia="Times New Roman" w:hAnsi="Times New Roman"/>
          <w:sz w:val="21"/>
          <w:szCs w:val="21"/>
          <w:color w:val="auto"/>
        </w:rPr>
      </w:pPr>
    </w:p>
    <w:p>
      <w:pPr>
        <w:jc w:val="both"/>
        <w:ind w:firstLine="641"/>
        <w:spacing w:after="0" w:line="266" w:lineRule="auto"/>
        <w:tabs>
          <w:tab w:leader="none" w:pos="127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return for the compensation payments set forth in this letter, you agree to devote your full business time, best efforts, skill, knowledge, attention, and energies to the advancement of the Company's business and interests and to the performance of your duties and responsibilities as an employee of the Company and not to engage in any other business activities without prior approval from the Company.</w:t>
      </w:r>
    </w:p>
    <w:p>
      <w:pPr>
        <w:spacing w:after="0" w:line="161" w:lineRule="exact"/>
        <w:rPr>
          <w:rFonts w:ascii="Times New Roman" w:cs="Times New Roman" w:eastAsia="Times New Roman" w:hAnsi="Times New Roman"/>
          <w:sz w:val="21"/>
          <w:szCs w:val="21"/>
          <w:color w:val="auto"/>
        </w:rPr>
      </w:pPr>
    </w:p>
    <w:p>
      <w:pPr>
        <w:ind w:firstLine="641"/>
        <w:spacing w:after="0" w:line="285" w:lineRule="auto"/>
        <w:tabs>
          <w:tab w:leader="none" w:pos="127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offer of at-will employment is contingent upon your authorization and successful completion of background and reference checks. You may be required to execute</w:t>
      </w:r>
    </w:p>
    <w:p>
      <w:pPr>
        <w:sectPr>
          <w:pgSz w:w="11900" w:h="16838" w:orient="portrait"/>
          <w:cols w:equalWidth="0" w:num="1">
            <w:col w:w="10920"/>
          </w:cols>
          <w:pgMar w:left="320" w:top="1440" w:right="659" w:bottom="1440" w:gutter="0" w:footer="0" w:header="0"/>
        </w:sectPr>
      </w:pPr>
    </w:p>
    <w:bookmarkStart w:id="90" w:name="page91"/>
    <w:bookmarkEnd w:id="90"/>
    <w:p>
      <w:pPr>
        <w:spacing w:after="0" w:line="7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1"/>
          <w:szCs w:val="21"/>
          <w:color w:val="auto"/>
        </w:rPr>
        <w:t>authorizations for the Company to obtain consumer reports and/or investigative consumer reports and use them in conducting background checks as a condition to your employment. The Company may obtain background reports both pre-employment and from time to time during your employment with the Company, as necessary.</w:t>
      </w:r>
    </w:p>
    <w:p>
      <w:pPr>
        <w:spacing w:after="0" w:line="153" w:lineRule="exact"/>
        <w:rPr>
          <w:sz w:val="20"/>
          <w:szCs w:val="20"/>
          <w:color w:val="auto"/>
        </w:rPr>
      </w:pPr>
    </w:p>
    <w:p>
      <w:pPr>
        <w:jc w:val="both"/>
        <w:ind w:firstLine="641"/>
        <w:spacing w:after="0" w:line="259" w:lineRule="auto"/>
        <w:tabs>
          <w:tab w:leader="none" w:pos="127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an employee of the Company, you will be required to comply with all Company policies and procedures. Violations of the Company's policies may lead to immediate termination of your employment. Further, the Company's premises, including all workspaces, furniture, documents, and other tangible materials, and all information technology resources of the Company (including computers, data and other electronic files, and all internet and email) are subject to oversight and inspection by the Company at any time. Company employees should have no expectation of privacy with regard to any Company premises, materials, resources, or information.</w:t>
      </w:r>
    </w:p>
    <w:p>
      <w:pPr>
        <w:spacing w:after="0" w:line="172" w:lineRule="exact"/>
        <w:rPr>
          <w:rFonts w:ascii="Times New Roman" w:cs="Times New Roman" w:eastAsia="Times New Roman" w:hAnsi="Times New Roman"/>
          <w:sz w:val="21"/>
          <w:szCs w:val="21"/>
          <w:color w:val="auto"/>
        </w:rPr>
      </w:pPr>
    </w:p>
    <w:p>
      <w:pPr>
        <w:jc w:val="both"/>
        <w:ind w:right="20" w:firstLine="641"/>
        <w:spacing w:after="0" w:line="266" w:lineRule="auto"/>
        <w:tabs>
          <w:tab w:leader="none" w:pos="127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offer letter is your formal offer of employment and supersedes any and all prior or contemporaneous agreements, discussions and understandings, whether written or oral, relating to the subject matter of this letter or your employment with the Company. The resolution of any disputes under this letter will be governed by the laws of the Commonwealth of Massachusetts.</w:t>
      </w:r>
    </w:p>
    <w:p>
      <w:pPr>
        <w:spacing w:after="0" w:line="162" w:lineRule="exact"/>
        <w:rPr>
          <w:sz w:val="20"/>
          <w:szCs w:val="20"/>
          <w:color w:val="auto"/>
        </w:rPr>
      </w:pPr>
    </w:p>
    <w:p>
      <w:pPr>
        <w:ind w:right="20" w:firstLine="635"/>
        <w:spacing w:after="0" w:line="285" w:lineRule="auto"/>
        <w:rPr>
          <w:sz w:val="20"/>
          <w:szCs w:val="20"/>
          <w:color w:val="auto"/>
        </w:rPr>
      </w:pPr>
      <w:r>
        <w:rPr>
          <w:rFonts w:ascii="Times New Roman" w:cs="Times New Roman" w:eastAsia="Times New Roman" w:hAnsi="Times New Roman"/>
          <w:sz w:val="21"/>
          <w:szCs w:val="21"/>
          <w:color w:val="auto"/>
        </w:rPr>
        <w:t>If you agree with the provisions of this letter, please sign the enclosed duplicate of this letter in the space provided below and return it to me (by email) by April 21, 2023. If you do not accept this offer by April 21, 2023, this offer will be revoked.</w:t>
      </w:r>
    </w:p>
    <w:p>
      <w:pPr>
        <w:spacing w:after="0" w:line="14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32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WEREWOLF THERAPEUTICS, INC.</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360" w:type="dxa"/>
        <w:tblCellMar>
          <w:top w:w="0" w:type="dxa"/>
          <w:left w:w="0" w:type="dxa"/>
          <w:bottom w:w="0" w:type="dxa"/>
          <w:right w:w="0" w:type="dxa"/>
        </w:tblCellMar>
      </w:tblP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2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/s/ Karen Fiello</w:t>
            </w:r>
          </w:p>
        </w:tc>
      </w:tr>
      <w:tr>
        <w:trPr>
          <w:trHeight w:val="470"/>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w w:val="99"/>
              </w:rPr>
              <w:t>Name:</w:t>
            </w:r>
          </w:p>
        </w:tc>
        <w:tc>
          <w:tcPr>
            <w:tcW w:w="2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Karen Fiello</w:t>
            </w:r>
          </w:p>
        </w:tc>
      </w:tr>
      <w:tr>
        <w:trPr>
          <w:trHeight w:val="406"/>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280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Sr. Director of People</w:t>
            </w:r>
          </w:p>
        </w:tc>
      </w:tr>
      <w:tr>
        <w:trPr>
          <w:trHeight w:val="278"/>
        </w:trPr>
        <w:tc>
          <w:tcPr>
            <w:tcW w:w="580" w:type="dxa"/>
            <w:vAlign w:val="bottom"/>
          </w:tcPr>
          <w:p>
            <w:pPr>
              <w:spacing w:after="0"/>
              <w:rPr>
                <w:sz w:val="24"/>
                <w:szCs w:val="24"/>
                <w:color w:val="auto"/>
              </w:rPr>
            </w:pPr>
          </w:p>
        </w:tc>
        <w:tc>
          <w:tcPr>
            <w:tcW w:w="2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Operations</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20"/>
        <w:spacing w:after="0" w:line="285" w:lineRule="auto"/>
        <w:rPr>
          <w:sz w:val="20"/>
          <w:szCs w:val="20"/>
          <w:color w:val="auto"/>
        </w:rPr>
      </w:pPr>
      <w:r>
        <w:rPr>
          <w:rFonts w:ascii="Times New Roman" w:cs="Times New Roman" w:eastAsia="Times New Roman" w:hAnsi="Times New Roman"/>
          <w:sz w:val="21"/>
          <w:szCs w:val="21"/>
          <w:color w:val="auto"/>
        </w:rPr>
        <w:t>The foregoing correctly sets forth the terms of my employment by Werewolf Therapeutics, Inc. I am not relying on any representations pertaining to my employment except for those set forth above.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0"/>
        <w:spacing w:after="0"/>
        <w:tabs>
          <w:tab w:leader="none" w:pos="1040" w:val="left"/>
          <w:tab w:leader="none" w:pos="63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4/20/2023</w:t>
      </w:r>
      <w:r>
        <w:rPr>
          <w:sz w:val="20"/>
          <w:szCs w:val="20"/>
          <w:color w:val="auto"/>
        </w:rPr>
        <w:tab/>
      </w:r>
      <w:r>
        <w:rPr>
          <w:rFonts w:ascii="Times New Roman" w:cs="Times New Roman" w:eastAsia="Times New Roman" w:hAnsi="Times New Roman"/>
          <w:sz w:val="21"/>
          <w:szCs w:val="21"/>
          <w:color w:val="auto"/>
        </w:rPr>
        <w:t>/s/ Michael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32385</wp:posOffset>
            </wp:positionV>
            <wp:extent cx="63353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33539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21"/>
          <w:szCs w:val="21"/>
          <w:color w:val="auto"/>
        </w:rPr>
        <w:t>Michael Urban</w:t>
      </w:r>
    </w:p>
    <w:p>
      <w:pPr>
        <w:sectPr>
          <w:pgSz w:w="11900" w:h="16838" w:orient="portrait"/>
          <w:cols w:equalWidth="0" w:num="1">
            <w:col w:w="10940"/>
          </w:cols>
          <w:pgMar w:left="320" w:top="1440" w:right="639" w:bottom="1440" w:gutter="0" w:footer="0" w:header="0"/>
        </w:sectPr>
      </w:pPr>
    </w:p>
    <w:bookmarkStart w:id="91" w:name="page92"/>
    <w:bookmarkEnd w:id="91"/>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Invention and Non-Disclosure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6"/>
          <w:szCs w:val="16"/>
          <w:b w:val="1"/>
          <w:bCs w:val="1"/>
          <w:color w:val="auto"/>
        </w:rPr>
        <w:t>ATTACHED SEPARATELY</w:t>
      </w:r>
      <w:r>
        <w:rPr>
          <w:rFonts w:ascii="Times New Roman" w:cs="Times New Roman" w:eastAsia="Times New Roman" w:hAnsi="Times New Roman"/>
          <w:sz w:val="21"/>
          <w:szCs w:val="21"/>
          <w:b w:val="1"/>
          <w:bCs w:val="1"/>
          <w:color w:val="auto"/>
        </w:rPr>
        <w:t>]</w:t>
      </w:r>
    </w:p>
    <w:p>
      <w:pPr>
        <w:sectPr>
          <w:pgSz w:w="11900" w:h="16838" w:orient="portrait"/>
          <w:cols w:equalWidth="0" w:num="1">
            <w:col w:w="9019"/>
          </w:cols>
          <w:pgMar w:left="1440" w:top="1440" w:right="1440" w:bottom="1440" w:gutter="0" w:footer="0" w:header="0"/>
        </w:sectPr>
      </w:pPr>
    </w:p>
    <w:bookmarkStart w:id="92" w:name="page93"/>
    <w:bookmarkEnd w:id="92"/>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Non-Competition and Non-Solicitation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6"/>
          <w:szCs w:val="16"/>
          <w:b w:val="1"/>
          <w:bCs w:val="1"/>
          <w:color w:val="auto"/>
        </w:rPr>
        <w:t>ATTACHED SEPARATELY</w:t>
      </w:r>
      <w:r>
        <w:rPr>
          <w:rFonts w:ascii="Times New Roman" w:cs="Times New Roman" w:eastAsia="Times New Roman" w:hAnsi="Times New Roman"/>
          <w:sz w:val="21"/>
          <w:szCs w:val="21"/>
          <w:b w:val="1"/>
          <w:bCs w:val="1"/>
          <w:color w:val="auto"/>
        </w:rPr>
        <w:t>]</w:t>
      </w:r>
    </w:p>
    <w:p>
      <w:pPr>
        <w:sectPr>
          <w:pgSz w:w="11900" w:h="16838" w:orient="portrait"/>
          <w:cols w:equalWidth="0" w:num="1">
            <w:col w:w="9019"/>
          </w:cols>
          <w:pgMar w:left="1440" w:top="1440" w:right="1440" w:bottom="1440" w:gutter="0" w:footer="0" w:header="0"/>
        </w:sectPr>
      </w:pPr>
    </w:p>
    <w:bookmarkStart w:id="93" w:name="page94"/>
    <w:bookmarkEnd w:id="93"/>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WEREWOLF THERAPEUTICS,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200 Talcott Ave</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w:t>
      </w:r>
      <w:r>
        <w:rPr>
          <w:rFonts w:ascii="Times New Roman" w:cs="Times New Roman" w:eastAsia="Times New Roman" w:hAnsi="Times New Roman"/>
          <w:sz w:val="16"/>
          <w:szCs w:val="16"/>
          <w:b w:val="1"/>
          <w:bCs w:val="1"/>
          <w:color w:val="auto"/>
        </w:rPr>
        <w:t>ATERTOWN</w:t>
      </w:r>
      <w:r>
        <w:rPr>
          <w:rFonts w:ascii="Times New Roman" w:cs="Times New Roman" w:eastAsia="Times New Roman" w:hAnsi="Times New Roman"/>
          <w:sz w:val="21"/>
          <w:szCs w:val="21"/>
          <w:b w:val="1"/>
          <w:bCs w:val="1"/>
          <w:color w:val="auto"/>
        </w:rPr>
        <w:t>, MA 02472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June 12, 2023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Michael Urban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Via hand delivery and email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Michael:</w:t>
      </w:r>
    </w:p>
    <w:p>
      <w:pPr>
        <w:spacing w:after="0" w:line="77" w:lineRule="exact"/>
        <w:rPr>
          <w:sz w:val="20"/>
          <w:szCs w:val="20"/>
          <w:color w:val="auto"/>
        </w:rPr>
      </w:pPr>
    </w:p>
    <w:p>
      <w:pPr>
        <w:ind w:right="2480" w:firstLine="636"/>
        <w:spacing w:after="0" w:line="259" w:lineRule="auto"/>
        <w:rPr>
          <w:sz w:val="20"/>
          <w:szCs w:val="20"/>
          <w:color w:val="auto"/>
        </w:rPr>
      </w:pPr>
      <w:r>
        <w:rPr>
          <w:rFonts w:ascii="Times New Roman" w:cs="Times New Roman" w:eastAsia="Times New Roman" w:hAnsi="Times New Roman"/>
          <w:sz w:val="21"/>
          <w:szCs w:val="21"/>
          <w:color w:val="auto"/>
        </w:rPr>
        <w:t>As we have previously discussed, this letter confirms that there was a typographical error in your offer letter from Werewolf Therapeutics, Inc. Section 2 of your offer letter should read as follows:</w:t>
      </w:r>
    </w:p>
    <w:p>
      <w:pPr>
        <w:spacing w:after="0" w:line="181" w:lineRule="exact"/>
        <w:rPr>
          <w:sz w:val="20"/>
          <w:szCs w:val="20"/>
          <w:color w:val="auto"/>
        </w:rPr>
      </w:pPr>
    </w:p>
    <w:p>
      <w:pPr>
        <w:jc w:val="both"/>
        <w:ind w:firstLine="641"/>
        <w:spacing w:after="0" w:line="254" w:lineRule="auto"/>
        <w:tabs>
          <w:tab w:leader="none" w:pos="84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base salary will be at the rate of $12,500 per semi-monthly pay period, which is equivalent to an annualized amount of $300,000, subject to tax and other withholdings as required by law. Such base salary may be adjusted from time to time in accordance with normal business practice and in the sole discretion of the Company.</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We look forward to you continuing to be part of the Werewolf team.</w:t>
      </w:r>
    </w:p>
    <w:p>
      <w:pPr>
        <w:spacing w:after="0" w:line="23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WEREWOLF THERAPEUTICS, INC.</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4260" w:type="dxa"/>
        <w:tblCellMar>
          <w:top w:w="0" w:type="dxa"/>
          <w:left w:w="0" w:type="dxa"/>
          <w:bottom w:w="0" w:type="dxa"/>
          <w:right w:w="0" w:type="dxa"/>
        </w:tblCellMar>
      </w:tblPr>
      <w:tr>
        <w:trPr>
          <w:trHeight w:val="277"/>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/s/ Karen Fiello</w:t>
            </w:r>
          </w:p>
        </w:tc>
      </w:tr>
      <w:tr>
        <w:trPr>
          <w:trHeight w:val="470"/>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Karen Fiello</w:t>
            </w:r>
          </w:p>
        </w:tc>
      </w:tr>
      <w:tr>
        <w:trPr>
          <w:trHeight w:val="471"/>
        </w:trPr>
        <w:tc>
          <w:tcPr>
            <w:tcW w:w="8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Sr. Director of People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Acknowledged and agreed:</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 Michael Urban</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Michael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-152400</wp:posOffset>
            </wp:positionV>
            <wp:extent cx="33655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3655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WEREWOLF THERAPEUTICS,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200 Talcott Ave</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w:t>
      </w:r>
      <w:r>
        <w:rPr>
          <w:rFonts w:ascii="Times New Roman" w:cs="Times New Roman" w:eastAsia="Times New Roman" w:hAnsi="Times New Roman"/>
          <w:sz w:val="16"/>
          <w:szCs w:val="16"/>
          <w:b w:val="1"/>
          <w:bCs w:val="1"/>
          <w:color w:val="auto"/>
        </w:rPr>
        <w:t>ATERTOWN</w:t>
      </w:r>
      <w:r>
        <w:rPr>
          <w:rFonts w:ascii="Times New Roman" w:cs="Times New Roman" w:eastAsia="Times New Roman" w:hAnsi="Times New Roman"/>
          <w:sz w:val="21"/>
          <w:szCs w:val="21"/>
          <w:b w:val="1"/>
          <w:bCs w:val="1"/>
          <w:color w:val="auto"/>
        </w:rPr>
        <w:t>, MA 02472</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15, 2026</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Daniel Hicklin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 Retention Agreement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Dan:</w:t>
      </w:r>
    </w:p>
    <w:p>
      <w:pPr>
        <w:spacing w:after="0" w:line="21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1"/>
          <w:szCs w:val="21"/>
          <w:color w:val="auto"/>
        </w:rPr>
        <w:t>This letter sets forth the terms of the retention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that Werewolf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is offering to you with respect to your agreement to continue to provide services to the Company. Except as provided in </w:t>
      </w:r>
      <w:r>
        <w:rPr>
          <w:rFonts w:ascii="Times New Roman" w:cs="Times New Roman" w:eastAsia="Times New Roman" w:hAnsi="Times New Roman"/>
          <w:sz w:val="21"/>
          <w:szCs w:val="21"/>
          <w:b w:val="1"/>
          <w:bCs w:val="1"/>
          <w:u w:val="single" w:color="auto"/>
          <w:color w:val="auto"/>
        </w:rPr>
        <w:t>Section V</w:t>
      </w:r>
      <w:r>
        <w:rPr>
          <w:rFonts w:ascii="Times New Roman" w:cs="Times New Roman" w:eastAsia="Times New Roman" w:hAnsi="Times New Roman"/>
          <w:sz w:val="21"/>
          <w:szCs w:val="21"/>
          <w:color w:val="auto"/>
        </w:rPr>
        <w:t xml:space="preserve"> below, this Agreement does not modify the terms of your employment, or any agreement relating to confidentiality, trade secrets, and non-competition/non-solicitation, each of which shall continue in full force and effect.</w:t>
      </w:r>
    </w:p>
    <w:p>
      <w:pPr>
        <w:spacing w:after="0" w:line="158" w:lineRule="exact"/>
        <w:rPr>
          <w:sz w:val="20"/>
          <w:szCs w:val="20"/>
          <w:color w:val="auto"/>
        </w:rPr>
      </w:pPr>
    </w:p>
    <w:p>
      <w:pPr>
        <w:ind w:left="620" w:hanging="616"/>
        <w:spacing w:after="0"/>
        <w:tabs>
          <w:tab w:leader="none" w:pos="620"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Effective Date of this Agreement</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1"/>
          <w:szCs w:val="21"/>
          <w:color w:val="auto"/>
        </w:rPr>
        <w:t>This Agreement will be effective, and you hereby consent to the terms and conditions herein, on the date you execute the Agreement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provided that you must return an executed copy of this Agreement, and the General Release (as defined below), to the Company on or before February 18, 2026.</w:t>
      </w:r>
    </w:p>
    <w:p>
      <w:pPr>
        <w:spacing w:after="0" w:line="171" w:lineRule="exact"/>
        <w:rPr>
          <w:sz w:val="20"/>
          <w:szCs w:val="20"/>
          <w:color w:val="auto"/>
        </w:rPr>
      </w:pPr>
    </w:p>
    <w:p>
      <w:pPr>
        <w:ind w:left="640" w:hanging="636"/>
        <w:spacing w:after="0"/>
        <w:tabs>
          <w:tab w:leader="none" w:pos="640" w:val="left"/>
        </w:tabs>
        <w:numPr>
          <w:ilvl w:val="0"/>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Retention Period</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1"/>
          <w:szCs w:val="21"/>
          <w:color w:val="auto"/>
        </w:rPr>
        <w:t>You agree and acknowledge that that at all times your employment relationship with the Company will remain at-will, meaning you may terminate your employment at any time and for any reason whatsoever simply by notifying the Company; and the Company may terminate your employment at any time with or without prior notice or Cause (as defined Employment Agreement entered into by and between you and the Company dated as of April 23, 2021 (the “</w:t>
      </w:r>
      <w:r>
        <w:rPr>
          <w:rFonts w:ascii="Times New Roman" w:cs="Times New Roman" w:eastAsia="Times New Roman" w:hAnsi="Times New Roman"/>
          <w:sz w:val="21"/>
          <w:szCs w:val="21"/>
          <w:b w:val="1"/>
          <w:bCs w:val="1"/>
          <w:color w:val="auto"/>
        </w:rPr>
        <w:t>Employment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39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1"/>
          <w:szCs w:val="21"/>
          <w:color w:val="auto"/>
        </w:rPr>
        <w:t>Between the Effective Date and August 15, 2026 (the “</w:t>
      </w:r>
      <w:r>
        <w:rPr>
          <w:rFonts w:ascii="Times New Roman" w:cs="Times New Roman" w:eastAsia="Times New Roman" w:hAnsi="Times New Roman"/>
          <w:sz w:val="21"/>
          <w:szCs w:val="21"/>
          <w:b w:val="1"/>
          <w:bCs w:val="1"/>
          <w:color w:val="auto"/>
        </w:rPr>
        <w:t>Retention Date</w:t>
      </w:r>
      <w:r>
        <w:rPr>
          <w:rFonts w:ascii="Times New Roman" w:cs="Times New Roman" w:eastAsia="Times New Roman" w:hAnsi="Times New Roman"/>
          <w:sz w:val="21"/>
          <w:szCs w:val="21"/>
          <w:color w:val="auto"/>
        </w:rPr>
        <w:t>” and such period, the “</w:t>
      </w:r>
      <w:r>
        <w:rPr>
          <w:rFonts w:ascii="Times New Roman" w:cs="Times New Roman" w:eastAsia="Times New Roman" w:hAnsi="Times New Roman"/>
          <w:sz w:val="21"/>
          <w:szCs w:val="21"/>
          <w:b w:val="1"/>
          <w:bCs w:val="1"/>
          <w:color w:val="auto"/>
        </w:rPr>
        <w:t>Retention Period</w:t>
      </w:r>
      <w:r>
        <w:rPr>
          <w:rFonts w:ascii="Times New Roman" w:cs="Times New Roman" w:eastAsia="Times New Roman" w:hAnsi="Times New Roman"/>
          <w:sz w:val="21"/>
          <w:szCs w:val="21"/>
          <w:color w:val="auto"/>
        </w:rPr>
        <w:t>”), (a) you agree that you will work with the Company on a full time basis to support the Company’s business as directed by the Company’s Board of Directors, (b) the Company will continue to pay you your regular base salary, and (c) you will continue to be eligible to participate in the employee benefit plans in which you are currently enrolled (pursuant to the terms and conditions of those benefit plans).</w:t>
      </w:r>
    </w:p>
    <w:p>
      <w:pPr>
        <w:spacing w:after="0" w:line="170" w:lineRule="exact"/>
        <w:rPr>
          <w:sz w:val="20"/>
          <w:szCs w:val="20"/>
          <w:color w:val="auto"/>
        </w:rPr>
      </w:pPr>
    </w:p>
    <w:p>
      <w:pPr>
        <w:ind w:left="640" w:hanging="636"/>
        <w:spacing w:after="0"/>
        <w:tabs>
          <w:tab w:leader="none" w:pos="640"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Eligibility for Retention Bonus and Additional Bonus Payment</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21"/>
          <w:szCs w:val="21"/>
          <w:color w:val="auto"/>
        </w:rPr>
        <w:t xml:space="preserve">If you sign, date, and return to the Company (without alteration), the General Release of Claims attached hereto as </w:t>
      </w:r>
      <w:r>
        <w:rPr>
          <w:rFonts w:ascii="Times New Roman" w:cs="Times New Roman" w:eastAsia="Times New Roman" w:hAnsi="Times New Roman"/>
          <w:sz w:val="21"/>
          <w:szCs w:val="21"/>
          <w:b w:val="1"/>
          <w:bCs w:val="1"/>
          <w:i w:val="1"/>
          <w:iCs w:val="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General Release</w:t>
      </w:r>
      <w:r>
        <w:rPr>
          <w:rFonts w:ascii="Times New Roman" w:cs="Times New Roman" w:eastAsia="Times New Roman" w:hAnsi="Times New Roman"/>
          <w:sz w:val="21"/>
          <w:szCs w:val="21"/>
          <w:color w:val="auto"/>
        </w:rPr>
        <w:t>”) on or before February 18, 2026, you will be eligible for the following benefits.</w:t>
      </w:r>
    </w:p>
    <w:p>
      <w:pPr>
        <w:sectPr>
          <w:pgSz w:w="11900" w:h="16838" w:orient="portrait"/>
          <w:cols w:equalWidth="0" w:num="1">
            <w:col w:w="10620"/>
          </w:cols>
          <w:pgMar w:left="640" w:top="95" w:right="639" w:bottom="1440" w:gutter="0" w:footer="0" w:header="0"/>
        </w:sectPr>
      </w:pPr>
    </w:p>
    <w:bookmarkStart w:id="95" w:name="page96"/>
    <w:bookmarkEnd w:id="95"/>
    <w:p>
      <w:pPr>
        <w:spacing w:after="0" w:line="166" w:lineRule="exact"/>
        <w:rPr>
          <w:sz w:val="20"/>
          <w:szCs w:val="20"/>
          <w:color w:val="auto"/>
        </w:rPr>
      </w:pPr>
    </w:p>
    <w:p>
      <w:pPr>
        <w:jc w:val="both"/>
        <w:ind w:left="960" w:right="300" w:hanging="319"/>
        <w:spacing w:after="0" w:line="256" w:lineRule="auto"/>
        <w:tabs>
          <w:tab w:leader="none" w:pos="95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Retention Bonus</w:t>
      </w:r>
      <w:r>
        <w:rPr>
          <w:rFonts w:ascii="Times New Roman" w:cs="Times New Roman" w:eastAsia="Times New Roman" w:hAnsi="Times New Roman"/>
          <w:sz w:val="21"/>
          <w:szCs w:val="21"/>
          <w:color w:val="auto"/>
        </w:rPr>
        <w:t>. You will be eligible for a retention bonus in the amount of $316,284 (the “</w:t>
      </w:r>
      <w:r>
        <w:rPr>
          <w:rFonts w:ascii="Times New Roman" w:cs="Times New Roman" w:eastAsia="Times New Roman" w:hAnsi="Times New Roman"/>
          <w:sz w:val="21"/>
          <w:szCs w:val="21"/>
          <w:b w:val="1"/>
          <w:bCs w:val="1"/>
          <w:color w:val="auto"/>
        </w:rPr>
        <w:t>Retention Bonus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less standard payroll deductions and tax withholdings, to be paid to you within fifteen (15) days of the Effective Date. The Retention Bonus is an advance and is being paid to you prior to being earned. You will earn the Retention Bonus on the Retention Date, contingent on your continued employment in good standing with the Company through and including the Retention Date. If, at any time prior to the Retention Date, you provide notice of your employment resignation, or actually resign your employment for any reason, or the Company terminates your employment for Cause, you must repay one-hundred percent (100%) of the Retention Bonus to the Company within thirty (30) days following your employment termination date. For the avoidance of doubt, if at any time prior to the Retention Date, your employment is terminated by the Company without Cause, or your employment is terminated due to your death or disability, then you will not be required to repay the Retention Bonus any portion thereof.</w:t>
      </w:r>
    </w:p>
    <w:p>
      <w:pPr>
        <w:spacing w:after="0" w:line="174" w:lineRule="exact"/>
        <w:rPr>
          <w:rFonts w:ascii="Times New Roman" w:cs="Times New Roman" w:eastAsia="Times New Roman" w:hAnsi="Times New Roman"/>
          <w:sz w:val="21"/>
          <w:szCs w:val="21"/>
          <w:color w:val="auto"/>
        </w:rPr>
      </w:pPr>
    </w:p>
    <w:p>
      <w:pPr>
        <w:jc w:val="both"/>
        <w:ind w:left="960" w:right="300" w:hanging="319"/>
        <w:spacing w:after="0" w:line="256" w:lineRule="auto"/>
        <w:tabs>
          <w:tab w:leader="none" w:pos="955"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Additional Bonus Payment</w:t>
      </w:r>
      <w:r>
        <w:rPr>
          <w:rFonts w:ascii="Times New Roman" w:cs="Times New Roman" w:eastAsia="Times New Roman" w:hAnsi="Times New Roman"/>
          <w:sz w:val="21"/>
          <w:szCs w:val="21"/>
          <w:color w:val="auto"/>
        </w:rPr>
        <w:t>. You will also be eligible to receive an additional bonus payment in the total amount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$316,284 (the “</w:t>
      </w:r>
      <w:r>
        <w:rPr>
          <w:rFonts w:ascii="Times New Roman" w:cs="Times New Roman" w:eastAsia="Times New Roman" w:hAnsi="Times New Roman"/>
          <w:sz w:val="21"/>
          <w:szCs w:val="21"/>
          <w:b w:val="1"/>
          <w:bCs w:val="1"/>
          <w:color w:val="auto"/>
        </w:rPr>
        <w:t>Additional Bonus Payment</w:t>
      </w:r>
      <w:r>
        <w:rPr>
          <w:rFonts w:ascii="Times New Roman" w:cs="Times New Roman" w:eastAsia="Times New Roman" w:hAnsi="Times New Roman"/>
          <w:sz w:val="21"/>
          <w:szCs w:val="21"/>
          <w:color w:val="auto"/>
        </w:rPr>
        <w:t xml:space="preserve">”). Contingent on your continued employment in good standing with the Company through each applicable payment date, the Additional Bonus Payment will be paid in equal installments, less standard payroll deductions and tax withholdings, on the Company’s regular payroll schedule during the Retention Period. If, prior to the end of the Retention Period, the Company terminates your employment without Cause, and you satisfy the Release Requirement (as defined in Section IV below), you will be entitled to a lump sum payment equal to an amount equal to the Additional Bonus Payment </w:t>
      </w:r>
      <w:r>
        <w:rPr>
          <w:rFonts w:ascii="Times New Roman" w:cs="Times New Roman" w:eastAsia="Times New Roman" w:hAnsi="Times New Roman"/>
          <w:sz w:val="21"/>
          <w:szCs w:val="21"/>
          <w:b w:val="1"/>
          <w:bCs w:val="1"/>
          <w:i w:val="1"/>
          <w:iCs w:val="1"/>
          <w:u w:val="single" w:color="auto"/>
          <w:color w:val="auto"/>
        </w:rPr>
        <w:t>minus</w:t>
      </w:r>
      <w:r>
        <w:rPr>
          <w:rFonts w:ascii="Times New Roman" w:cs="Times New Roman" w:eastAsia="Times New Roman" w:hAnsi="Times New Roman"/>
          <w:sz w:val="21"/>
          <w:szCs w:val="21"/>
          <w:color w:val="auto"/>
        </w:rPr>
        <w:t xml:space="preserve"> any portion of the Additional Bonus Payment paid prior to such termination of employment. For the avoidance of doubt, if you provide notice of your employment resignation, or actually resign your employment for any reason, or the Company terminates your employment for Cause, before the Retention Date, you will no longer be eligible for any unpaid portion of the Additional Bonus Payment.</w:t>
      </w:r>
    </w:p>
    <w:p>
      <w:pPr>
        <w:spacing w:after="0" w:line="1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Equity Treatment</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In addition to your eligibility for the benefits described in </w:t>
      </w:r>
      <w:r>
        <w:rPr>
          <w:rFonts w:ascii="Times New Roman" w:cs="Times New Roman" w:eastAsia="Times New Roman" w:hAnsi="Times New Roman"/>
          <w:sz w:val="21"/>
          <w:szCs w:val="21"/>
          <w:b w:val="1"/>
          <w:bCs w:val="1"/>
          <w:u w:val="single" w:color="auto"/>
          <w:color w:val="auto"/>
        </w:rPr>
        <w:t>Section III</w:t>
      </w:r>
      <w:r>
        <w:rPr>
          <w:rFonts w:ascii="Times New Roman" w:cs="Times New Roman" w:eastAsia="Times New Roman" w:hAnsi="Times New Roman"/>
          <w:sz w:val="21"/>
          <w:szCs w:val="21"/>
          <w:color w:val="auto"/>
        </w:rPr>
        <w:t xml:space="preserve"> above, and contingent on your continued employment in good standing with the Company through the Retention Date (or such earlier date on which your employment is terminated by the Company without Cause), if you return to the Company a signed and dated general release of all known and unknown claims in a separation agreement acceptable to the Company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within the applicable deadline set forth therein, but in no event later than forty-five (45) calendar days following the Retention Date, and you permit the Release to become effective and irrevocable in accordance with its terms (the “</w:t>
      </w:r>
      <w:r>
        <w:rPr>
          <w:rFonts w:ascii="Times New Roman" w:cs="Times New Roman" w:eastAsia="Times New Roman" w:hAnsi="Times New Roman"/>
          <w:sz w:val="21"/>
          <w:szCs w:val="21"/>
          <w:b w:val="1"/>
          <w:bCs w:val="1"/>
          <w:color w:val="auto"/>
        </w:rPr>
        <w:t>Release Requirement</w:t>
      </w:r>
      <w:r>
        <w:rPr>
          <w:rFonts w:ascii="Times New Roman" w:cs="Times New Roman" w:eastAsia="Times New Roman" w:hAnsi="Times New Roman"/>
          <w:sz w:val="21"/>
          <w:szCs w:val="21"/>
          <w:color w:val="auto"/>
        </w:rPr>
        <w:t>”), your outstanding stock option awards from the Company (the “</w:t>
      </w:r>
      <w:r>
        <w:rPr>
          <w:rFonts w:ascii="Times New Roman" w:cs="Times New Roman" w:eastAsia="Times New Roman" w:hAnsi="Times New Roman"/>
          <w:sz w:val="21"/>
          <w:szCs w:val="21"/>
          <w:b w:val="1"/>
          <w:bCs w:val="1"/>
          <w:color w:val="auto"/>
        </w:rPr>
        <w:t>Option Awards</w:t>
      </w:r>
      <w:r>
        <w:rPr>
          <w:rFonts w:ascii="Times New Roman" w:cs="Times New Roman" w:eastAsia="Times New Roman" w:hAnsi="Times New Roman"/>
          <w:sz w:val="21"/>
          <w:szCs w:val="21"/>
          <w:color w:val="auto"/>
        </w:rPr>
        <w:t>”) shall be amended such that the right to exercise the vested Option Awards shall terminate on the Final Exercise Date (as defined in the applicable option grant documents). Except as set forth in the prior sentence, your vested Option Awards will continue to be governed in all respects by the terms and conditions of the applicable Company stock incentive plan and your option award grant documents.</w:t>
      </w:r>
    </w:p>
    <w:p>
      <w:pPr>
        <w:sectPr>
          <w:pgSz w:w="11900" w:h="16838" w:orient="portrait"/>
          <w:cols w:equalWidth="0" w:num="1">
            <w:col w:w="10920"/>
          </w:cols>
          <w:pgMar w:left="640" w:top="1440" w:right="339" w:bottom="1440" w:gutter="0" w:footer="0" w:header="0"/>
        </w:sectPr>
      </w:pPr>
    </w:p>
    <w:bookmarkStart w:id="96" w:name="page97"/>
    <w:bookmarkEnd w:id="96"/>
    <w:p>
      <w:pPr>
        <w:spacing w:after="0" w:line="166" w:lineRule="exact"/>
        <w:rPr>
          <w:sz w:val="20"/>
          <w:szCs w:val="20"/>
          <w:color w:val="auto"/>
        </w:rPr>
      </w:pPr>
    </w:p>
    <w:p>
      <w:pPr>
        <w:ind w:left="600" w:hanging="596"/>
        <w:spacing w:after="0"/>
        <w:tabs>
          <w:tab w:leader="none" w:pos="60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Waiver of Eligibility for Severance Benefits</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b w:val="1"/>
          <w:bCs w:val="1"/>
          <w:color w:val="auto"/>
        </w:rPr>
      </w:pPr>
    </w:p>
    <w:p>
      <w:pPr>
        <w:jc w:val="both"/>
        <w:ind w:right="300" w:firstLine="407"/>
        <w:spacing w:after="0" w:line="254" w:lineRule="auto"/>
        <w:tabs>
          <w:tab w:leader="none" w:pos="943"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expressly consent to the revised employment compensation, terms and benefits provided to you in this Agreement. Additionally, you agree and acknowledge, in consideration of the employment compensation, terms, and benefits provided to you by this Agreement and as part of your continuing employment, that, upon the termination of your Company employment, you will not be eligible for, and will not receive, any severance benefits pursuant to the Employment Agreement. You further expressly waive any claim or right you may have to receive such severance benefits pursuant to the Employment Agreement or otherwise; provided that, and notwithstanding the foregoing, (A) at the end of the Retention Period, or upon the earlier termination of your employment by the Company other than as a Qualifying Termination and other than by the Company for Cause, you will remain eligible for a payment equal to Company contributions to the cost of COBRA coverage on behalf of you and any applicable dependents for twelve months (such costs shall be determined on the same basis as the Company’s contribution to Company-provided health and dental insurance coverage in effect for an active employee with the same coverage elections; provided that if the Company’s provision of such payment would violate the nondiscrimination requirements of applicable law, this benefit will not apply), in each case less standard payroll deductions and tax withholdings and (B) if you incur a Qualifying Termination (as defined below) during the Change of Control Period (as defined below), in addition to the other amounts provided herein, you will remain eligible for (i) a payment equal to six months of your base salary, (ii) a bonus amount equal to your 2026 target annual bonus, and (iii) a payment equal to Company contributions to the cost of COBRA coverage on behalf of you and any applicable dependents for six months (such costs shall be determined on the same basis as the Company’s contribution to Company-provided health and dental insurance coverage in effect for an active employee with the same coverage elections; provided that if the Company’s provision of such payment would violate the nondiscrimination requirements of applicable law, this benefit will not apply), in each case less standard payroll deductions and tax withholdings. In addition, upon a Change of Control (as defined below) the vesting of your then-unvested equity awards that vest based solely on the passage of time shall be accelerated, such that all then-unvested equity awards that vest based solely on the passage of time vest and become fully exercisable or non-forfeitable as of the later of immediately prior to the closing of the Change in Control and the termination date.</w:t>
      </w:r>
    </w:p>
    <w:p>
      <w:pPr>
        <w:spacing w:after="0" w:line="164"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21"/>
          <w:szCs w:val="21"/>
          <w:color w:val="auto"/>
        </w:rPr>
        <w:t>For purpose of this Agreement, (i) a “Qualifying Termination” means a termination that would constitute a Change of Control Termination (as defined in the Employment Agreement), provided that the underlying “Change of Control” (as defined in the Employment Agreement results in, or the Company is otherwise able to, satisfy all of its liabilities (as determined by the Company’s Board of Directors) and (ii) “Change of Control Period” means the period commencing three months prior to the Change of Control and ending twelve (12) months after the Change of Control.</w:t>
      </w:r>
    </w:p>
    <w:p>
      <w:pPr>
        <w:spacing w:after="0" w:line="171" w:lineRule="exact"/>
        <w:rPr>
          <w:sz w:val="20"/>
          <w:szCs w:val="20"/>
          <w:color w:val="auto"/>
        </w:rPr>
      </w:pPr>
    </w:p>
    <w:p>
      <w:pPr>
        <w:ind w:left="600" w:hanging="596"/>
        <w:spacing w:after="0"/>
        <w:tabs>
          <w:tab w:leader="none" w:pos="600" w:val="left"/>
        </w:tabs>
        <w:numPr>
          <w:ilvl w:val="0"/>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This Agreement is the complete, final and exclusive embodiment of the entire agreement between you and the Company with regard to subject matter herein, and it supersedes and replaces any other agreements (whether written or unwritten) you may have with the Company concerning these matters. This Agreement is governed by the laws of the Commonwealth of Massachusetts, without any reference to conflicts of law principles, and it may not be modified or amended except in a</w:t>
      </w:r>
    </w:p>
    <w:p>
      <w:pPr>
        <w:sectPr>
          <w:pgSz w:w="11900" w:h="16838" w:orient="portrait"/>
          <w:cols w:equalWidth="0" w:num="1">
            <w:col w:w="10920"/>
          </w:cols>
          <w:pgMar w:left="640" w:top="144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1"/>
          <w:szCs w:val="21"/>
          <w:color w:val="auto"/>
        </w:rPr>
        <w:t>written agreement signed by you and a duly authorized member of the Company’s Board of Directors.</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This Agreement may be executed in two or more counterparts, each of which will be 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u w:val="single" w:color="auto"/>
          <w:color w:val="auto"/>
        </w:rPr>
        <w:t>Signature Page to Follow</w:t>
      </w:r>
      <w:r>
        <w:rPr>
          <w:rFonts w:ascii="Times New Roman" w:cs="Times New Roman" w:eastAsia="Times New Roman" w:hAnsi="Times New Roman"/>
          <w:sz w:val="21"/>
          <w:szCs w:val="21"/>
          <w:color w:val="auto"/>
        </w:rPr>
        <w:t>]</w:t>
      </w:r>
    </w:p>
    <w:p>
      <w:pPr>
        <w:sectPr>
          <w:pgSz w:w="11900" w:h="16838" w:orient="portrait"/>
          <w:cols w:equalWidth="0" w:num="1">
            <w:col w:w="10600"/>
          </w:cols>
          <w:pgMar w:left="640" w:top="881" w:right="659" w:bottom="1440" w:gutter="0" w:footer="0" w:header="0"/>
        </w:sectPr>
      </w:pPr>
    </w:p>
    <w:bookmarkStart w:id="98" w:name="page99"/>
    <w:bookmarkEnd w:id="98"/>
    <w:p>
      <w:pPr>
        <w:spacing w:after="0" w:line="157"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1"/>
          <w:szCs w:val="21"/>
          <w:color w:val="auto"/>
        </w:rPr>
        <w:t>To accept and agree to the terms of this Agreement and become eligible to receive the benefits described herein, please execute and return this Agreement and the General Release on or before February 18,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Meeta Chatterjee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Meeta Chatterjee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Chair, Compensation Committee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ACKNOWLEDGMENT AND ACCEPTANCE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200" w:lineRule="exact"/>
        <w:rPr>
          <w:sz w:val="20"/>
          <w:szCs w:val="20"/>
          <w:color w:val="auto"/>
        </w:rPr>
      </w:pPr>
    </w:p>
    <w:p>
      <w:pPr>
        <w:spacing w:after="0" w:line="314" w:lineRule="exact"/>
        <w:rPr>
          <w:sz w:val="20"/>
          <w:szCs w:val="20"/>
          <w:color w:val="auto"/>
        </w:rPr>
      </w:pPr>
    </w:p>
    <w:p>
      <w:pPr>
        <w:ind w:left="80"/>
        <w:spacing w:after="0"/>
        <w:tabs>
          <w:tab w:leader="none" w:pos="5240" w:val="left"/>
          <w:tab w:leader="none" w:pos="6060" w:val="left"/>
        </w:tabs>
        <w:rPr>
          <w:sz w:val="20"/>
          <w:szCs w:val="20"/>
          <w:color w:val="auto"/>
        </w:rPr>
      </w:pPr>
      <w:r>
        <w:rPr>
          <w:rFonts w:ascii="Times New Roman" w:cs="Times New Roman" w:eastAsia="Times New Roman" w:hAnsi="Times New Roman"/>
          <w:sz w:val="21"/>
          <w:szCs w:val="21"/>
          <w:color w:val="auto"/>
        </w:rPr>
        <w:t>/s/ Daniel Hicklin</w:t>
      </w:r>
      <w:r>
        <w:rPr>
          <w:sz w:val="20"/>
          <w:szCs w:val="20"/>
          <w:color w:val="auto"/>
        </w:rPr>
        <w:tab/>
      </w: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2/17/2026</w:t>
      </w:r>
    </w:p>
    <w:p>
      <w:pPr>
        <w:spacing w:after="0" w:line="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Daniel Hicklin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68573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Exhibit A – General Release</w:t>
      </w:r>
    </w:p>
    <w:p>
      <w:pPr>
        <w:sectPr>
          <w:pgSz w:w="11900" w:h="16838" w:orient="portrait"/>
          <w:cols w:equalWidth="0" w:num="1">
            <w:col w:w="10600"/>
          </w:cols>
          <w:pgMar w:left="640" w:top="1440" w:right="659" w:bottom="1440" w:gutter="0" w:footer="0" w:header="0"/>
        </w:sectPr>
      </w:pPr>
    </w:p>
    <w:bookmarkStart w:id="99" w:name="page100"/>
    <w:bookmarkEnd w:id="99"/>
    <w:p>
      <w:pPr>
        <w:spacing w:after="0" w:line="25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4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b w:val="1"/>
          <w:bCs w:val="1"/>
          <w:color w:val="auto"/>
        </w:rPr>
        <w:t>GENERAL RELEASE OF CLAIMS</w:t>
      </w:r>
    </w:p>
    <w:p>
      <w:pPr>
        <w:spacing w:after="0" w:line="21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auto"/>
        </w:rPr>
        <w:t>(TO BE SIGNED ON OR BEFORE FEBRUARY 18, 2026)</w:t>
      </w:r>
    </w:p>
    <w:p>
      <w:pPr>
        <w:spacing w:after="0" w:line="227"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21"/>
          <w:szCs w:val="21"/>
          <w:color w:val="auto"/>
        </w:rPr>
        <w:t>If I choose to timely sign and return this General Release of Claims (the “</w:t>
      </w:r>
      <w:r>
        <w:rPr>
          <w:rFonts w:ascii="Times New Roman" w:cs="Times New Roman" w:eastAsia="Times New Roman" w:hAnsi="Times New Roman"/>
          <w:sz w:val="21"/>
          <w:szCs w:val="21"/>
          <w:b w:val="1"/>
          <w:bCs w:val="1"/>
          <w:color w:val="auto"/>
        </w:rPr>
        <w:t>General Release</w:t>
      </w:r>
      <w:r>
        <w:rPr>
          <w:rFonts w:ascii="Times New Roman" w:cs="Times New Roman" w:eastAsia="Times New Roman" w:hAnsi="Times New Roman"/>
          <w:sz w:val="21"/>
          <w:szCs w:val="21"/>
          <w:color w:val="auto"/>
        </w:rPr>
        <w:t>”), Werewolf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will provide me with the benefits set forth in </w:t>
      </w:r>
      <w:r>
        <w:rPr>
          <w:rFonts w:ascii="Times New Roman" w:cs="Times New Roman" w:eastAsia="Times New Roman" w:hAnsi="Times New Roman"/>
          <w:sz w:val="21"/>
          <w:szCs w:val="21"/>
          <w:b w:val="1"/>
          <w:bCs w:val="1"/>
          <w:u w:val="single" w:color="auto"/>
          <w:color w:val="auto"/>
        </w:rPr>
        <w:t>Sections II, III and IV</w:t>
      </w:r>
      <w:r>
        <w:rPr>
          <w:rFonts w:ascii="Times New Roman" w:cs="Times New Roman" w:eastAsia="Times New Roman" w:hAnsi="Times New Roman"/>
          <w:sz w:val="21"/>
          <w:szCs w:val="21"/>
          <w:color w:val="auto"/>
        </w:rPr>
        <w:t xml:space="preserve"> of the Retention Agreement between me and the Company dated February 18, 2026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 understand that I am not entitled to such benefits unless I sign and return this General Release to the Company on or before February 18, 2026. Capitalized terms used in this General Release that are not defined herein shall have the meaning as defined in the Retention Agreement.</w:t>
      </w:r>
    </w:p>
    <w:p>
      <w:pPr>
        <w:spacing w:after="0" w:line="174" w:lineRule="exact"/>
        <w:rPr>
          <w:sz w:val="20"/>
          <w:szCs w:val="20"/>
          <w:color w:val="auto"/>
        </w:rPr>
      </w:pPr>
    </w:p>
    <w:p>
      <w:pPr>
        <w:jc w:val="both"/>
        <w:ind w:right="300" w:firstLine="636"/>
        <w:spacing w:after="0" w:line="256" w:lineRule="auto"/>
        <w:rPr>
          <w:sz w:val="20"/>
          <w:szCs w:val="20"/>
          <w:color w:val="auto"/>
        </w:rPr>
      </w:pPr>
      <w:r>
        <w:rPr>
          <w:rFonts w:ascii="Times New Roman" w:cs="Times New Roman" w:eastAsia="Times New Roman" w:hAnsi="Times New Roman"/>
          <w:sz w:val="21"/>
          <w:szCs w:val="21"/>
          <w:b w:val="1"/>
          <w:bCs w:val="1"/>
          <w:color w:val="auto"/>
        </w:rPr>
        <w:t>General Release</w:t>
      </w:r>
      <w:r>
        <w:rPr>
          <w:rFonts w:ascii="Times New Roman" w:cs="Times New Roman" w:eastAsia="Times New Roman" w:hAnsi="Times New Roman"/>
          <w:sz w:val="21"/>
          <w:szCs w:val="21"/>
          <w:color w:val="auto"/>
        </w:rPr>
        <w:t>. In exchange for the consideration provided to me under the Agreement to which I would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otherwise be entitled, including but not limited to the benefits set forth in </w:t>
      </w:r>
      <w:r>
        <w:rPr>
          <w:rFonts w:ascii="Times New Roman" w:cs="Times New Roman" w:eastAsia="Times New Roman" w:hAnsi="Times New Roman"/>
          <w:sz w:val="21"/>
          <w:szCs w:val="21"/>
          <w:b w:val="1"/>
          <w:bCs w:val="1"/>
          <w:u w:val="single" w:color="auto"/>
          <w:color w:val="auto"/>
        </w:rPr>
        <w:t>Sections II, III and IV</w:t>
      </w:r>
      <w:r>
        <w:rPr>
          <w:rFonts w:ascii="Times New Roman" w:cs="Times New Roman" w:eastAsia="Times New Roman" w:hAnsi="Times New Roman"/>
          <w:sz w:val="21"/>
          <w:szCs w:val="21"/>
          <w:color w:val="auto"/>
        </w:rPr>
        <w:t xml:space="preserve"> of the Agreement, I (for me and for any person who may make a claim by or through me (including without limitation, any current or former spouse(s), dependents, heirs, assignees, executors, attorneys, or agents)) hereby generally and completely release the Company and its current and former predecessors, successors, parents, direct and indirect subsidiaries, affiliates, investors, and related entities (collectively, the “</w:t>
      </w:r>
      <w:r>
        <w:rPr>
          <w:rFonts w:ascii="Times New Roman" w:cs="Times New Roman" w:eastAsia="Times New Roman" w:hAnsi="Times New Roman"/>
          <w:sz w:val="21"/>
          <w:szCs w:val="21"/>
          <w:b w:val="1"/>
          <w:bCs w:val="1"/>
          <w:color w:val="auto"/>
        </w:rPr>
        <w:t>Entities</w:t>
      </w:r>
      <w:r>
        <w:rPr>
          <w:rFonts w:ascii="Times New Roman" w:cs="Times New Roman" w:eastAsia="Times New Roman" w:hAnsi="Times New Roman"/>
          <w:sz w:val="21"/>
          <w:szCs w:val="21"/>
          <w:color w:val="auto"/>
        </w:rPr>
        <w:t>”) and each of the Entities’ respective current and former directors, officers, employees, shareholders, partners, members, agents, attorneys, insurers, assigns, and employee benefit plans of and from any and all claims, liabilities, and obligations, both known and unknown, that arise out of or are in any way related to events, acts, conduct, or omissions occurring prior to or on the date I sign this General Release (collectively, the “</w:t>
      </w:r>
      <w:r>
        <w:rPr>
          <w:rFonts w:ascii="Times New Roman" w:cs="Times New Roman" w:eastAsia="Times New Roman" w:hAnsi="Times New Roman"/>
          <w:sz w:val="21"/>
          <w:szCs w:val="21"/>
          <w:b w:val="1"/>
          <w:bCs w:val="1"/>
          <w:color w:val="auto"/>
        </w:rPr>
        <w:t>Released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w:t>
      </w:r>
    </w:p>
    <w:p>
      <w:pPr>
        <w:spacing w:after="0" w:line="319"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21"/>
          <w:szCs w:val="21"/>
          <w:b w:val="1"/>
          <w:bCs w:val="1"/>
          <w:color w:val="auto"/>
        </w:rPr>
        <w:t>Scope of Release</w:t>
      </w:r>
      <w:r>
        <w:rPr>
          <w:rFonts w:ascii="Times New Roman" w:cs="Times New Roman" w:eastAsia="Times New Roman" w:hAnsi="Times New Roman"/>
          <w:sz w:val="21"/>
          <w:szCs w:val="21"/>
          <w:color w:val="auto"/>
        </w:rPr>
        <w:t>. The Released Claims include, but are not limited to: (i) all claims arising out of or in any way related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my employment with or services for any member of the Company, or the termination of that employment or those services;</w:t>
      </w:r>
    </w:p>
    <w:p>
      <w:pPr>
        <w:spacing w:after="0" w:line="1" w:lineRule="exact"/>
        <w:rPr>
          <w:sz w:val="20"/>
          <w:szCs w:val="20"/>
          <w:color w:val="auto"/>
        </w:rPr>
      </w:pPr>
    </w:p>
    <w:p>
      <w:pPr>
        <w:jc w:val="both"/>
        <w:ind w:firstLine="4"/>
        <w:spacing w:after="0" w:line="252" w:lineRule="auto"/>
        <w:tabs>
          <w:tab w:leader="none" w:pos="36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claims or rights related to my compensation or benefits from the Company, including salary, bonuses, incentive compensation, commissions, paid time off, severance benefits pursuant to the Employment Agreement or otherwise, notice rights, transaction bonuses, fringe benefits, stock, stock options, restricted stock, units, or any other ownership interests in the Company; (iii) all claims for breach of contract (oral or written), wrongful termination, and breach of the implied covenant of good faith and fair dealing; (iv) all tort claims, including claims for fraud, inducement, misrepresentation, defamation, emotional distress, and discharge in violation of public policy; and (v) all constitutional, federal, state, and local statutory and common law claims, in each case, as amended, including, but not limited to, claims for discrimination, harassment, retaliation, interference, attorneys’ fees, and/or other claims arising under the federal Civil Rights Act of 1964, the federal Americans with Disabilities Act of 1990 and all similar state and local laws, the federal Family and Medical Leave Act and all similar state and local laws (the “</w:t>
      </w:r>
      <w:r>
        <w:rPr>
          <w:rFonts w:ascii="Times New Roman" w:cs="Times New Roman" w:eastAsia="Times New Roman" w:hAnsi="Times New Roman"/>
          <w:sz w:val="21"/>
          <w:szCs w:val="21"/>
          <w:b w:val="1"/>
          <w:bCs w:val="1"/>
          <w:color w:val="auto"/>
        </w:rPr>
        <w:t>FMLA</w:t>
      </w:r>
      <w:r>
        <w:rPr>
          <w:rFonts w:ascii="Times New Roman" w:cs="Times New Roman" w:eastAsia="Times New Roman" w:hAnsi="Times New Roman"/>
          <w:sz w:val="21"/>
          <w:szCs w:val="21"/>
          <w:color w:val="auto"/>
        </w:rPr>
        <w:t>”), the federal Equal Pay Act and all similar state and local laws, the federal Employee Retirement Income Security Act of 1974, the Federal Fair Credit Reporting Act and all similar state and local laws, the federal Worker Adjustment and Retraining Notification Act and all similar state and local laws, the Massachusetts Fair Employment Practices Act, the Massachusetts Equal Rights Act, the Massachusetts Wage Act, the Massachusetts Civil Rights Act, and any and all claims arising from or related to any other federal, state or local fair employment practices act, statute, code, regulation, and/or ordinance.</w:t>
      </w:r>
    </w:p>
    <w:p>
      <w:pPr>
        <w:sectPr>
          <w:pgSz w:w="11900" w:h="16838" w:orient="portrait"/>
          <w:cols w:equalWidth="0" w:num="1">
            <w:col w:w="10920"/>
          </w:cols>
          <w:pgMar w:left="640" w:top="1440" w:right="339" w:bottom="1440" w:gutter="0" w:footer="0" w:header="0"/>
        </w:sectPr>
      </w:pPr>
    </w:p>
    <w:bookmarkStart w:id="100" w:name="page101"/>
    <w:bookmarkEnd w:id="100"/>
    <w:p>
      <w:pPr>
        <w:jc w:val="both"/>
        <w:ind w:right="320"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Excluded Claims</w:t>
      </w:r>
      <w:r>
        <w:rPr>
          <w:rFonts w:ascii="Times New Roman" w:cs="Times New Roman" w:eastAsia="Times New Roman" w:hAnsi="Times New Roman"/>
          <w:sz w:val="21"/>
          <w:szCs w:val="21"/>
          <w:color w:val="auto"/>
        </w:rPr>
        <w:t>. The Released Claims do not include (i) any rights to indemnification I may have pursuant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 of the Company’s governing corporate documents, pursuant to any written indemnification agreement with the Company to which I am a party (if any), under applicable law, or pursuant to the terms and conditions of any directors and officers’ liability insurance policy of the Company; and (ii) any rights that are not waivable as a matter of law, including without limitation, any rights I may have to seek unemployment or workers’ compensation benefits.</w:t>
      </w:r>
    </w:p>
    <w:p>
      <w:pPr>
        <w:spacing w:after="0" w:line="187" w:lineRule="exact"/>
        <w:rPr>
          <w:sz w:val="20"/>
          <w:szCs w:val="20"/>
          <w:color w:val="auto"/>
        </w:rPr>
      </w:pPr>
    </w:p>
    <w:p>
      <w:pPr>
        <w:jc w:val="both"/>
        <w:ind w:right="300" w:firstLine="636"/>
        <w:spacing w:after="0" w:line="258" w:lineRule="auto"/>
        <w:rPr>
          <w:sz w:val="20"/>
          <w:szCs w:val="20"/>
          <w:color w:val="auto"/>
        </w:rPr>
      </w:pPr>
      <w:r>
        <w:rPr>
          <w:rFonts w:ascii="Times New Roman" w:cs="Times New Roman" w:eastAsia="Times New Roman" w:hAnsi="Times New Roman"/>
          <w:sz w:val="21"/>
          <w:szCs w:val="21"/>
          <w:b w:val="1"/>
          <w:bCs w:val="1"/>
          <w:color w:val="auto"/>
        </w:rPr>
        <w:t>Waiver of Unknown Claims</w:t>
      </w:r>
      <w:r>
        <w:rPr>
          <w:rFonts w:ascii="Times New Roman" w:cs="Times New Roman" w:eastAsia="Times New Roman" w:hAnsi="Times New Roman"/>
          <w:sz w:val="21"/>
          <w:szCs w:val="21"/>
          <w:color w:val="auto"/>
        </w:rPr>
        <w:t>. In giving the releases set forth in this General Release, which include claims that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unknown to me at present, I acknowledge that I have read and understand Section 1542 of the California Civil Code which reads as follows: “</w:t>
      </w:r>
      <w:r>
        <w:rPr>
          <w:rFonts w:ascii="Times New Roman" w:cs="Times New Roman" w:eastAsia="Times New Roman" w:hAnsi="Times New Roman"/>
          <w:sz w:val="21"/>
          <w:szCs w:val="21"/>
          <w:b w:val="1"/>
          <w:bCs w:val="1"/>
          <w:u w:val="single" w:color="auto"/>
          <w:color w:val="auto"/>
        </w:rPr>
        <w:t>A general release does not extend to claims that the creditor or releasing party does not know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or suspect to exist in his or her favor at the time of executing the release and that, if known by him or her, would have materially affected his or her settlement with the debtor or released party</w:t>
      </w:r>
      <w:r>
        <w:rPr>
          <w:rFonts w:ascii="Times New Roman" w:cs="Times New Roman" w:eastAsia="Times New Roman" w:hAnsi="Times New Roman"/>
          <w:sz w:val="21"/>
          <w:szCs w:val="21"/>
          <w:color w:val="auto"/>
        </w:rPr>
        <w:t>.” I hereby expressly waive and relinquish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and benefits under that section and any law or legal principle of similar effect in any jurisdiction with respect to my release of claims herein, including but not limited to the release of unknown and unsuspected claims.</w:t>
      </w:r>
    </w:p>
    <w:p>
      <w:pPr>
        <w:spacing w:after="0" w:line="19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b w:val="1"/>
          <w:bCs w:val="1"/>
          <w:color w:val="auto"/>
        </w:rPr>
        <w:t>Protected Rights</w:t>
      </w:r>
      <w:r>
        <w:rPr>
          <w:rFonts w:ascii="Times New Roman" w:cs="Times New Roman" w:eastAsia="Times New Roman" w:hAnsi="Times New Roman"/>
          <w:sz w:val="21"/>
          <w:szCs w:val="21"/>
          <w:color w:val="auto"/>
        </w:rPr>
        <w:t>. I understand that nothing in this General Release prevents me from filing a charge or complaint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Equal Employment Opportunity Commission, the National Labor Relations Board, the Occupational Safety and Health Administration, the Securities and Exchange Commission or any other federal, state or local governmental agency or commission (collectively, the “</w:t>
      </w:r>
      <w:r>
        <w:rPr>
          <w:rFonts w:ascii="Times New Roman" w:cs="Times New Roman" w:eastAsia="Times New Roman" w:hAnsi="Times New Roman"/>
          <w:sz w:val="21"/>
          <w:szCs w:val="21"/>
          <w:b w:val="1"/>
          <w:bCs w:val="1"/>
          <w:color w:val="auto"/>
        </w:rPr>
        <w:t>Government Agencies</w:t>
      </w:r>
      <w:r>
        <w:rPr>
          <w:rFonts w:ascii="Times New Roman" w:cs="Times New Roman" w:eastAsia="Times New Roman" w:hAnsi="Times New Roman"/>
          <w:sz w:val="21"/>
          <w:szCs w:val="21"/>
          <w:color w:val="auto"/>
        </w:rPr>
        <w:t>”). This General Release does not limit my ability to communicate with any Government Agencies or otherwise participate in any investigation or proceeding that may be conducted by any Government Agencies, including providing documents or other information, without notice to the Company. While this General Release does not limit my right to receive an award for information provided to the Securities and Exchange Commission or to receive a monetary award from a government-administered whistleblower award program, I understand and agree that, to maximum extent permitted by law, I am otherwise waiving any and all rights I may have to individual relief based on any claims that I have released and any rights I have waived by signing this General Release. Nothing in this General Release prevents me from discussing or disclosing employee wages, benefits or terms and conditions of employment, or information about unfair or unlawful acts or employment practices in the workplace, such as harassment or discrimination or any other conduct that I have reason to believe is unlawful. Additionally, I further acknowledge that the Company has advised me that I will not be held civilly or criminally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or (c) is made to an attorney or is used in a court proceeding in connection with a lawsuit alleging retaliation for reporting a suspected violation of law, provided that the trade secret is filed under seal and not disclosed except pursuant to court order.</w:t>
      </w:r>
    </w:p>
    <w:p>
      <w:pPr>
        <w:sectPr>
          <w:pgSz w:w="11900" w:h="16838" w:orient="portrait"/>
          <w:cols w:equalWidth="0" w:num="1">
            <w:col w:w="10920"/>
          </w:cols>
          <w:pgMar w:left="640" w:top="877" w:right="339" w:bottom="1440" w:gutter="0" w:footer="0" w:header="0"/>
        </w:sectPr>
      </w:pPr>
    </w:p>
    <w:bookmarkStart w:id="101" w:name="page102"/>
    <w:bookmarkEnd w:id="101"/>
    <w:p>
      <w:pPr>
        <w:jc w:val="both"/>
        <w:ind w:firstLine="636"/>
        <w:spacing w:after="0" w:line="260" w:lineRule="auto"/>
        <w:rPr>
          <w:sz w:val="20"/>
          <w:szCs w:val="20"/>
          <w:color w:val="auto"/>
        </w:rPr>
      </w:pPr>
      <w:r>
        <w:rPr>
          <w:rFonts w:ascii="Times New Roman" w:cs="Times New Roman" w:eastAsia="Times New Roman" w:hAnsi="Times New Roman"/>
          <w:sz w:val="21"/>
          <w:szCs w:val="21"/>
          <w:b w:val="1"/>
          <w:bCs w:val="1"/>
          <w:color w:val="auto"/>
        </w:rPr>
        <w:t>Representations</w:t>
      </w:r>
      <w:r>
        <w:rPr>
          <w:rFonts w:ascii="Times New Roman" w:cs="Times New Roman" w:eastAsia="Times New Roman" w:hAnsi="Times New Roman"/>
          <w:sz w:val="21"/>
          <w:szCs w:val="21"/>
          <w:color w:val="auto"/>
        </w:rPr>
        <w:t>. I hereby represent that, as of the date I execute this General Release: I have been paid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owed and for all time worked; I have received all the leave and leave benefits and protections for which I am eligible pursuant to FMLA or any applicable federal or state law or Company policy; and I have not suffered any on-the-job injury or illness for which I have not already filed a workers’ compensation claim. I further acknowledge and represent that:</w:t>
      </w:r>
    </w:p>
    <w:p>
      <w:pPr>
        <w:spacing w:after="0" w:line="2" w:lineRule="exact"/>
        <w:rPr>
          <w:sz w:val="20"/>
          <w:szCs w:val="20"/>
          <w:color w:val="auto"/>
        </w:rPr>
      </w:pPr>
    </w:p>
    <w:p>
      <w:pPr>
        <w:jc w:val="both"/>
        <w:ind w:firstLine="4"/>
        <w:spacing w:after="0" w:line="255" w:lineRule="auto"/>
        <w:tabs>
          <w:tab w:leader="none" w:pos="29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am not relying upon any statements, understandings, representations, expectations, or agreements other than those expressly set forth in the Agreement and General Release Agreement; (ii) I have made my own investigation of the facts and I am relying solely upon my own knowledge; (iii) I am knowingly waiving any claim that the Agreement or General Release were induced by any misrepresentation or nondisclosure; (iv) I have read and understand the terms and effect of the Agreement and General Release; and (v) I am knowingly and voluntarily agreeing to all of the terms set forth in the Agreement and General Release and to be bound by the Agreement and General Release.</w:t>
      </w:r>
    </w:p>
    <w:p>
      <w:pPr>
        <w:sectPr>
          <w:pgSz w:w="11900" w:h="16838" w:orient="portrait"/>
          <w:cols w:equalWidth="0" w:num="1">
            <w:col w:w="10620"/>
          </w:cols>
          <w:pgMar w:left="640" w:top="665" w:right="639" w:bottom="1440" w:gutter="0" w:footer="0" w:header="0"/>
        </w:sectPr>
      </w:pPr>
    </w:p>
    <w:bookmarkStart w:id="102" w:name="page103"/>
    <w:bookmarkEnd w:id="102"/>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Signature Page to General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I UNDERSTAND THAT THIS GENERAL RELEASE INCLUDES A RELEASE OF ALL KNOWN AND UNKNOWN CLAIMS, EVEN THOSE UNKNOWN CLAIMS THAT, IF KNOWN BY ME, WOULD AFFECT MY DECISION TO ACCEPT THIS GENERAL RELEASE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/s/ Daniel Hicklin</w:t>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Daniel Hicklin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28606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0"/>
        <w:spacing w:after="0"/>
        <w:tabs>
          <w:tab w:leader="none" w:pos="800" w:val="left"/>
        </w:tabs>
        <w:rPr>
          <w:sz w:val="20"/>
          <w:szCs w:val="20"/>
          <w:color w:val="auto"/>
        </w:rPr>
      </w:pPr>
      <w:r>
        <w:rPr>
          <w:rFonts w:ascii="Times New Roman" w:cs="Times New Roman" w:eastAsia="Times New Roman" w:hAnsi="Times New Roman"/>
          <w:sz w:val="21"/>
          <w:szCs w:val="21"/>
          <w:color w:val="auto"/>
        </w:rPr>
        <w:t>Date:</w:t>
        <w:tab/>
        <w:t>2/17/2026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24130</wp:posOffset>
            </wp:positionV>
            <wp:extent cx="23977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ectPr>
          <w:pgSz w:w="11900" w:h="16838" w:orient="portrait"/>
          <w:cols w:equalWidth="0" w:num="1">
            <w:col w:w="10600"/>
          </w:cols>
          <w:pgMar w:left="640" w:top="1440" w:right="65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WEREWOLF THERAPEUTICS,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200 Talcott Ave</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w:t>
      </w:r>
      <w:r>
        <w:rPr>
          <w:rFonts w:ascii="Times New Roman" w:cs="Times New Roman" w:eastAsia="Times New Roman" w:hAnsi="Times New Roman"/>
          <w:sz w:val="16"/>
          <w:szCs w:val="16"/>
          <w:b w:val="1"/>
          <w:bCs w:val="1"/>
          <w:color w:val="auto"/>
        </w:rPr>
        <w:t>ATERTOWN</w:t>
      </w:r>
      <w:r>
        <w:rPr>
          <w:rFonts w:ascii="Times New Roman" w:cs="Times New Roman" w:eastAsia="Times New Roman" w:hAnsi="Times New Roman"/>
          <w:sz w:val="21"/>
          <w:szCs w:val="21"/>
          <w:b w:val="1"/>
          <w:bCs w:val="1"/>
          <w:color w:val="auto"/>
        </w:rPr>
        <w:t>, MA 02472</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16, 2026</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Michael Urban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 Retention Agreement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Michael:</w:t>
      </w: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This letter sets forth the terms of the retention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that Werewolf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is offering to you with respect to your agreement to continue to provide services to the Company. Except as provided in </w:t>
      </w:r>
      <w:r>
        <w:rPr>
          <w:rFonts w:ascii="Times New Roman" w:cs="Times New Roman" w:eastAsia="Times New Roman" w:hAnsi="Times New Roman"/>
          <w:sz w:val="21"/>
          <w:szCs w:val="21"/>
          <w:b w:val="1"/>
          <w:bCs w:val="1"/>
          <w:u w:val="single" w:color="auto"/>
          <w:color w:val="auto"/>
        </w:rPr>
        <w:t>Section V</w:t>
      </w:r>
      <w:r>
        <w:rPr>
          <w:rFonts w:ascii="Times New Roman" w:cs="Times New Roman" w:eastAsia="Times New Roman" w:hAnsi="Times New Roman"/>
          <w:sz w:val="21"/>
          <w:szCs w:val="21"/>
          <w:color w:val="auto"/>
        </w:rPr>
        <w:t xml:space="preserve"> below, this Agreement does not modify the terms of your employment, or any agreement relating to confidentiality, trade secrets, and non-competition/non-solicitation, each of which shall continue in full force and effect.</w:t>
      </w:r>
    </w:p>
    <w:p>
      <w:pPr>
        <w:spacing w:after="0" w:line="158" w:lineRule="exact"/>
        <w:rPr>
          <w:sz w:val="20"/>
          <w:szCs w:val="20"/>
          <w:color w:val="auto"/>
        </w:rPr>
      </w:pPr>
    </w:p>
    <w:p>
      <w:pPr>
        <w:ind w:left="620" w:hanging="616"/>
        <w:spacing w:after="0"/>
        <w:tabs>
          <w:tab w:leader="none" w:pos="620"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Effective Date of this Agreement</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1"/>
          <w:szCs w:val="21"/>
          <w:color w:val="auto"/>
        </w:rPr>
        <w:t>This Agreement will be effective, and you hereby consent to the terms and conditions herein, on the date you execute the Agreement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provided that you must return an executed copy of this Agreement, and the General Release (as defined below), to the Company on or before February 18, 2026.</w:t>
      </w:r>
    </w:p>
    <w:p>
      <w:pPr>
        <w:spacing w:after="0" w:line="171" w:lineRule="exact"/>
        <w:rPr>
          <w:sz w:val="20"/>
          <w:szCs w:val="20"/>
          <w:color w:val="auto"/>
        </w:rPr>
      </w:pPr>
    </w:p>
    <w:p>
      <w:pPr>
        <w:ind w:left="640" w:hanging="636"/>
        <w:spacing w:after="0"/>
        <w:tabs>
          <w:tab w:leader="none" w:pos="640"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Retention Period</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1"/>
          <w:szCs w:val="21"/>
          <w:color w:val="auto"/>
        </w:rPr>
        <w:t>You agree and acknowledge that that at all times your employment relationship with the Company will remain at-will, meaning you may terminate your employment at any time and for any reason whatsoever simply by notifying the Company; and the Company may terminate your employment at any time with or without prior notice or Cause (as defined below). For purposes of this Agreement, “Cause” means any of: (a) your conviction of, or plea of guilty or nolo contendere to, any crime involving dishonesty or moral turpitude or any felony; or (b) a good faith finding by the Company’s Board of Directors that you have (i) engaged in dishonesty, willful misconduct or gross negligence that has a material adverse effect on the Company, (ii) committed an act that materially injures or would reasonably be expected to materially injure the reputation, business or business relationships of the Company, (iii) materially breached the terms of any restrictive covenants or confidentiality agreement with the Company (and not cured same within any cure period applicable to such covenants or confidentiality agreement); or (iv) failed or refused to comply in any material respect with the Company’s material policies or procedures and in a manner that materially injures or would reasonably be expected to materially injure the reputation, business or business relationships of the Company, provided that in the case of (iv) that you were given written notice of such violation or failure by the Board of Directors and a period of 30 days to cure (provided that the Board of Directors reasonably determines that such violation or failure is curable).</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Between the Effective Date and November 15, 2026 (the “</w:t>
      </w:r>
      <w:r>
        <w:rPr>
          <w:rFonts w:ascii="Times New Roman" w:cs="Times New Roman" w:eastAsia="Times New Roman" w:hAnsi="Times New Roman"/>
          <w:sz w:val="21"/>
          <w:szCs w:val="21"/>
          <w:b w:val="1"/>
          <w:bCs w:val="1"/>
          <w:color w:val="auto"/>
        </w:rPr>
        <w:t>Retention Date</w:t>
      </w:r>
      <w:r>
        <w:rPr>
          <w:rFonts w:ascii="Times New Roman" w:cs="Times New Roman" w:eastAsia="Times New Roman" w:hAnsi="Times New Roman"/>
          <w:sz w:val="21"/>
          <w:szCs w:val="21"/>
          <w:color w:val="auto"/>
        </w:rPr>
        <w:t>” and such period, the “</w:t>
      </w:r>
      <w:r>
        <w:rPr>
          <w:rFonts w:ascii="Times New Roman" w:cs="Times New Roman" w:eastAsia="Times New Roman" w:hAnsi="Times New Roman"/>
          <w:sz w:val="21"/>
          <w:szCs w:val="21"/>
          <w:b w:val="1"/>
          <w:bCs w:val="1"/>
          <w:color w:val="auto"/>
        </w:rPr>
        <w:t>Retention Period</w:t>
      </w:r>
      <w:r>
        <w:rPr>
          <w:rFonts w:ascii="Times New Roman" w:cs="Times New Roman" w:eastAsia="Times New Roman" w:hAnsi="Times New Roman"/>
          <w:sz w:val="21"/>
          <w:szCs w:val="21"/>
          <w:color w:val="auto"/>
        </w:rPr>
        <w:t>”), (a) you agree that you will work with the Company on a full time basis to</w:t>
      </w:r>
    </w:p>
    <w:p>
      <w:pPr>
        <w:spacing w:after="0" w:line="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1"/>
          <w:szCs w:val="21"/>
          <w:color w:val="auto"/>
        </w:rPr>
        <w:t>support the Company’s business as directed by the Company’s Board of Directors, (b) the Company will continue to pay you your regular base salary, and (c) you will continue to be</w:t>
      </w:r>
    </w:p>
    <w:p>
      <w:pPr>
        <w:sectPr>
          <w:pgSz w:w="11900" w:h="16838" w:orient="portrait"/>
          <w:cols w:equalWidth="0" w:num="1">
            <w:col w:w="10620"/>
          </w:cols>
          <w:pgMar w:left="640" w:top="95" w:right="639" w:bottom="1440" w:gutter="0" w:footer="0" w:header="0"/>
        </w:sectPr>
      </w:pPr>
    </w:p>
    <w:bookmarkStart w:id="104" w:name="page105"/>
    <w:bookmarkEnd w:id="104"/>
    <w:p>
      <w:pPr>
        <w:ind w:right="20"/>
        <w:spacing w:after="0" w:line="298" w:lineRule="auto"/>
        <w:rPr>
          <w:sz w:val="20"/>
          <w:szCs w:val="20"/>
          <w:color w:val="auto"/>
        </w:rPr>
      </w:pPr>
      <w:r>
        <w:rPr>
          <w:rFonts w:ascii="Times New Roman" w:cs="Times New Roman" w:eastAsia="Times New Roman" w:hAnsi="Times New Roman"/>
          <w:sz w:val="21"/>
          <w:szCs w:val="21"/>
          <w:color w:val="auto"/>
        </w:rPr>
        <w:t>eligible to participate in the employee benefit plans in which you are currently enrolled (pursuant to the terms and conditions of those benefit plans).</w:t>
      </w:r>
    </w:p>
    <w:p>
      <w:pPr>
        <w:spacing w:after="0" w:line="125" w:lineRule="exact"/>
        <w:rPr>
          <w:sz w:val="20"/>
          <w:szCs w:val="20"/>
          <w:color w:val="auto"/>
        </w:rPr>
      </w:pPr>
    </w:p>
    <w:p>
      <w:pPr>
        <w:ind w:left="640" w:hanging="636"/>
        <w:spacing w:after="0"/>
        <w:tabs>
          <w:tab w:leader="none" w:pos="64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Eligibility for Retention Bonus and Additional Bonus Payment</w:t>
      </w:r>
      <w:r>
        <w:rPr>
          <w:rFonts w:ascii="Times New Roman" w:cs="Times New Roman" w:eastAsia="Times New Roman" w:hAnsi="Times New Roman"/>
          <w:sz w:val="21"/>
          <w:szCs w:val="21"/>
          <w:color w:val="auto"/>
        </w:rPr>
        <w:t>.</w:t>
      </w:r>
    </w:p>
    <w:p>
      <w:pPr>
        <w:spacing w:after="0" w:line="20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21"/>
          <w:szCs w:val="21"/>
          <w:color w:val="auto"/>
        </w:rPr>
        <w:t xml:space="preserve">If you sign, date, and return to the Company (without alteration), the General Release of Claims attached hereto as </w:t>
      </w:r>
      <w:r>
        <w:rPr>
          <w:rFonts w:ascii="Times New Roman" w:cs="Times New Roman" w:eastAsia="Times New Roman" w:hAnsi="Times New Roman"/>
          <w:sz w:val="21"/>
          <w:szCs w:val="21"/>
          <w:b w:val="1"/>
          <w:bCs w:val="1"/>
          <w:i w:val="1"/>
          <w:iCs w:val="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General Release</w:t>
      </w:r>
      <w:r>
        <w:rPr>
          <w:rFonts w:ascii="Times New Roman" w:cs="Times New Roman" w:eastAsia="Times New Roman" w:hAnsi="Times New Roman"/>
          <w:sz w:val="21"/>
          <w:szCs w:val="21"/>
          <w:color w:val="auto"/>
        </w:rPr>
        <w:t>”) on or before February 18, 2026, you will be eligible for the following benefits.</w:t>
      </w:r>
    </w:p>
    <w:p>
      <w:pPr>
        <w:spacing w:after="0" w:line="160" w:lineRule="exact"/>
        <w:rPr>
          <w:sz w:val="20"/>
          <w:szCs w:val="20"/>
          <w:color w:val="auto"/>
        </w:rPr>
      </w:pPr>
    </w:p>
    <w:p>
      <w:pPr>
        <w:jc w:val="both"/>
        <w:ind w:left="960" w:hanging="319"/>
        <w:spacing w:after="0" w:line="256" w:lineRule="auto"/>
        <w:tabs>
          <w:tab w:leader="none" w:pos="957"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Retention Bonus</w:t>
      </w:r>
      <w:r>
        <w:rPr>
          <w:rFonts w:ascii="Times New Roman" w:cs="Times New Roman" w:eastAsia="Times New Roman" w:hAnsi="Times New Roman"/>
          <w:sz w:val="21"/>
          <w:szCs w:val="21"/>
          <w:color w:val="auto"/>
        </w:rPr>
        <w:t>. You will be eligible for a retention bonus in the amount of $81,315 (the “</w:t>
      </w:r>
      <w:r>
        <w:rPr>
          <w:rFonts w:ascii="Times New Roman" w:cs="Times New Roman" w:eastAsia="Times New Roman" w:hAnsi="Times New Roman"/>
          <w:sz w:val="21"/>
          <w:szCs w:val="21"/>
          <w:b w:val="1"/>
          <w:bCs w:val="1"/>
          <w:color w:val="auto"/>
        </w:rPr>
        <w:t>Retention Bonus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less standard payroll deductions and tax withholdings, to be paid to you within fifteen (15) days of the Effective Date. The Retention Bonus is an advance and is being paid to you prior to being earned. You will earn the Retention Bonus on the Retention Date, contingent on your continued employment in good standing with the Company through and including the Retention Date. If, at any time prior to the Retention Date, you provide notice of your employment resignation, or actually resign your employment for any reason, or the Company terminates your employment for Cause, you must repay one-hundred percent (100%) of the Retention Bonus to the Company within thirty (30) days following your employment termination date. For the avoidance of doubt, if at any time prior to the Retention Date, your employment is terminated by the Company without Cause, or your employment is terminated due to your death or disability, then you will not be required to repay the Retention Bonus any portion thereof.</w:t>
      </w:r>
    </w:p>
    <w:p>
      <w:pPr>
        <w:spacing w:after="0" w:line="174" w:lineRule="exact"/>
        <w:rPr>
          <w:rFonts w:ascii="Times New Roman" w:cs="Times New Roman" w:eastAsia="Times New Roman" w:hAnsi="Times New Roman"/>
          <w:sz w:val="21"/>
          <w:szCs w:val="21"/>
          <w:color w:val="auto"/>
        </w:rPr>
      </w:pPr>
    </w:p>
    <w:p>
      <w:pPr>
        <w:jc w:val="both"/>
        <w:ind w:left="960" w:hanging="319"/>
        <w:spacing w:after="0" w:line="256" w:lineRule="auto"/>
        <w:tabs>
          <w:tab w:leader="none" w:pos="955"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Additional Bonus Payment</w:t>
      </w:r>
      <w:r>
        <w:rPr>
          <w:rFonts w:ascii="Times New Roman" w:cs="Times New Roman" w:eastAsia="Times New Roman" w:hAnsi="Times New Roman"/>
          <w:sz w:val="21"/>
          <w:szCs w:val="21"/>
          <w:color w:val="auto"/>
        </w:rPr>
        <w:t>. You will also be eligible to receive an additional bonus payment in the total amount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$203,288 (the “</w:t>
      </w:r>
      <w:r>
        <w:rPr>
          <w:rFonts w:ascii="Times New Roman" w:cs="Times New Roman" w:eastAsia="Times New Roman" w:hAnsi="Times New Roman"/>
          <w:sz w:val="21"/>
          <w:szCs w:val="21"/>
          <w:b w:val="1"/>
          <w:bCs w:val="1"/>
          <w:color w:val="auto"/>
        </w:rPr>
        <w:t>Additional Bonus Payment</w:t>
      </w:r>
      <w:r>
        <w:rPr>
          <w:rFonts w:ascii="Times New Roman" w:cs="Times New Roman" w:eastAsia="Times New Roman" w:hAnsi="Times New Roman"/>
          <w:sz w:val="21"/>
          <w:szCs w:val="21"/>
          <w:color w:val="auto"/>
        </w:rPr>
        <w:t xml:space="preserve">”). Contingent on your continued employment in good standing with the Company through each applicable payment date, the Additional Bonus Payment will be paid in equal installments, less standard payroll deductions and tax withholdings, on the Company’s regular payroll schedule during the Retention Period. If, prior to the end of the Retention Period, the Company terminates your employment without Cause, and you satisfy the Release Requirement (as defined in Section IV below), you will be entitled to a lump sum payment equal to an amount equal to the Additional Bonus Payment </w:t>
      </w:r>
      <w:r>
        <w:rPr>
          <w:rFonts w:ascii="Times New Roman" w:cs="Times New Roman" w:eastAsia="Times New Roman" w:hAnsi="Times New Roman"/>
          <w:sz w:val="21"/>
          <w:szCs w:val="21"/>
          <w:b w:val="1"/>
          <w:bCs w:val="1"/>
          <w:i w:val="1"/>
          <w:iCs w:val="1"/>
          <w:u w:val="single" w:color="auto"/>
          <w:color w:val="auto"/>
        </w:rPr>
        <w:t>minus</w:t>
      </w:r>
      <w:r>
        <w:rPr>
          <w:rFonts w:ascii="Times New Roman" w:cs="Times New Roman" w:eastAsia="Times New Roman" w:hAnsi="Times New Roman"/>
          <w:sz w:val="21"/>
          <w:szCs w:val="21"/>
          <w:color w:val="auto"/>
        </w:rPr>
        <w:t xml:space="preserve"> any portion of the Additional Bonus Payment paid prior to such termination of employment. For the avoidance of doubt, if you provide notice of your employment resignation, or actually resign your employment for any reason, or the Company terminates your employment for Cause, before the Retention Date, you will no longer be eligible for any unpaid portion of the Additional Bonus Payment.</w:t>
      </w:r>
    </w:p>
    <w:p>
      <w:pPr>
        <w:spacing w:after="0" w:line="1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Equity Treatment</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In addition to your eligibility for the benefits described in </w:t>
      </w:r>
      <w:r>
        <w:rPr>
          <w:rFonts w:ascii="Times New Roman" w:cs="Times New Roman" w:eastAsia="Times New Roman" w:hAnsi="Times New Roman"/>
          <w:sz w:val="21"/>
          <w:szCs w:val="21"/>
          <w:b w:val="1"/>
          <w:bCs w:val="1"/>
          <w:u w:val="single" w:color="auto"/>
          <w:color w:val="auto"/>
        </w:rPr>
        <w:t>Section III</w:t>
      </w:r>
      <w:r>
        <w:rPr>
          <w:rFonts w:ascii="Times New Roman" w:cs="Times New Roman" w:eastAsia="Times New Roman" w:hAnsi="Times New Roman"/>
          <w:sz w:val="21"/>
          <w:szCs w:val="21"/>
          <w:color w:val="auto"/>
        </w:rPr>
        <w:t xml:space="preserve"> above, and contingent on your continued employment in good standing with the Company through the Retention Date (or such earlier date on which your employment is terminated by the Company without Cause), if you return to the Company a signed and dated general release of all known and unknown claims in a separation agreement acceptable to the Company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within the applicable deadline set forth therein, but in no event later than forty-five (45) calendar days following the Retention Date, and you permit the Release to become effective and irrevocable in accordance with its terms (the “</w:t>
      </w:r>
      <w:r>
        <w:rPr>
          <w:rFonts w:ascii="Times New Roman" w:cs="Times New Roman" w:eastAsia="Times New Roman" w:hAnsi="Times New Roman"/>
          <w:sz w:val="21"/>
          <w:szCs w:val="21"/>
          <w:b w:val="1"/>
          <w:bCs w:val="1"/>
          <w:color w:val="auto"/>
        </w:rPr>
        <w:t>Release Requirement</w:t>
      </w:r>
      <w:r>
        <w:rPr>
          <w:rFonts w:ascii="Times New Roman" w:cs="Times New Roman" w:eastAsia="Times New Roman" w:hAnsi="Times New Roman"/>
          <w:sz w:val="21"/>
          <w:szCs w:val="21"/>
          <w:color w:val="auto"/>
        </w:rPr>
        <w:t>”), your outstanding stock option awards from the Company (the “</w:t>
      </w:r>
      <w:r>
        <w:rPr>
          <w:rFonts w:ascii="Times New Roman" w:cs="Times New Roman" w:eastAsia="Times New Roman" w:hAnsi="Times New Roman"/>
          <w:sz w:val="21"/>
          <w:szCs w:val="21"/>
          <w:b w:val="1"/>
          <w:bCs w:val="1"/>
          <w:color w:val="auto"/>
        </w:rPr>
        <w:t>Option Awards</w:t>
      </w:r>
      <w:r>
        <w:rPr>
          <w:rFonts w:ascii="Times New Roman" w:cs="Times New Roman" w:eastAsia="Times New Roman" w:hAnsi="Times New Roman"/>
          <w:sz w:val="21"/>
          <w:szCs w:val="21"/>
          <w:color w:val="auto"/>
        </w:rPr>
        <w:t>”) shall be amended such that the right to exercise the vested Option Awards shall terminate on the Final Exercise Date (as defined in the applicable option grant documents). Except as set forth in the prior sentence, your vested Option Awards will</w:t>
      </w:r>
    </w:p>
    <w:p>
      <w:pPr>
        <w:sectPr>
          <w:pgSz w:w="11900" w:h="16838" w:orient="portrait"/>
          <w:cols w:equalWidth="0" w:num="1">
            <w:col w:w="10620"/>
          </w:cols>
          <w:pgMar w:left="640" w:top="669" w:right="639" w:bottom="1440" w:gutter="0" w:footer="0" w:header="0"/>
        </w:sectPr>
      </w:pPr>
    </w:p>
    <w:bookmarkStart w:id="105" w:name="page106"/>
    <w:bookmarkEnd w:id="105"/>
    <w:p>
      <w:pPr>
        <w:ind w:right="20"/>
        <w:spacing w:after="0" w:line="285" w:lineRule="auto"/>
        <w:rPr>
          <w:sz w:val="20"/>
          <w:szCs w:val="20"/>
          <w:color w:val="auto"/>
        </w:rPr>
      </w:pPr>
      <w:r>
        <w:rPr>
          <w:rFonts w:ascii="Times New Roman" w:cs="Times New Roman" w:eastAsia="Times New Roman" w:hAnsi="Times New Roman"/>
          <w:sz w:val="21"/>
          <w:szCs w:val="21"/>
          <w:color w:val="auto"/>
        </w:rPr>
        <w:t>continue to be governed in all respects by the terms and conditions of the applicable Company stock incentive plan and your option award grant documents.</w:t>
      </w:r>
    </w:p>
    <w:p>
      <w:pPr>
        <w:spacing w:after="0" w:line="138" w:lineRule="exact"/>
        <w:rPr>
          <w:sz w:val="20"/>
          <w:szCs w:val="20"/>
          <w:color w:val="auto"/>
        </w:rPr>
      </w:pPr>
    </w:p>
    <w:p>
      <w:pPr>
        <w:ind w:left="600" w:hanging="596"/>
        <w:spacing w:after="0"/>
        <w:tabs>
          <w:tab w:leader="none" w:pos="60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Waiver of Eligibility for Severance Benefits</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b w:val="1"/>
          <w:bCs w:val="1"/>
          <w:color w:val="auto"/>
        </w:rPr>
      </w:pPr>
    </w:p>
    <w:p>
      <w:pPr>
        <w:jc w:val="both"/>
        <w:ind w:firstLine="407"/>
        <w:spacing w:after="0" w:line="254" w:lineRule="auto"/>
        <w:tabs>
          <w:tab w:leader="none" w:pos="943"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expressly consent to the revised employment compensation, terms and benefits provided to you in this Agreement. Additionally, you agree and acknowledge, in consideration of the employment compensation, terms, and benefits provided to you by this Agreement and as part of your continuing employment, that, upon the termination of your Company employment, you will not be eligible for, and will not receive, any severance pursuant to the Company’s Severance Benefits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or otherwise. You further expressly waive any claim or right you may have to receive such severance benefits pursuant to the Plan or otherwise; provided that, and notwithstanding the foregoing, (A) at the end of the Retention Period, or upon the earlier termination of your employment by the Company other than as a Qualifying Termination and other than by the Company for Cause, you will remain eligible for a payment equal to Company contributions to the cost of COBRA coverage on behalf of you and any applicable dependents for three months (such costs shall be determined on the same basis as the Company’s contribution to Company-provided health and dental insurance coverage in effect for an active employee with the same coverage elections; provided that if the Company’s provision of such payment would violate the nondiscrimination requirements of applicable law, this benefit will not apply), in each case less standard payroll deductions and tax withholdings and (B) if you incur a Qualifying Termination (as defined below) during the Change of Control Period (as defined below), in addition to the other amounts provided herein, you will remain eligible for (i) a bonus amount equal to your 2026 target annual bonus, and (ii) a payment equal to Company contributions to the cost of COBRA coverage on behalf of you and any applicable dependents for three months (such costs shall be determined on the same basis as the Company’s contribution to Company-provided health and dental insurance coverage in effect for an active employee with the same coverage elections; provided that if the Company’s provision of such payment would violate the nondiscrimination requirements of applicable law, this benefit will not apply), in each case less standard payroll deductions and tax withholdings. In addition, upon a Change of Control (as defined below) the vesting of your then-unvested equity awards that vest based solely on the passage of time shall be accelerated, such that all then-unvested equity awards that vest based solely on the passage of time vest and become fully exercisable or non-forfeitable as of the later of immediately prior to the closing of the Change in Control and the termination date.</w:t>
      </w:r>
    </w:p>
    <w:p>
      <w:pPr>
        <w:spacing w:after="0" w:line="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For purpose of this Agreement, (i) a “Qualifying Termination” means a termination that would constitute a Change of Control Termination (as defined in the Plan), provided that the underlying “Change of Control (as defined in the Plan) results in, or the Company is otherwise able to, satisfy all of its liabilities (as determined by the Company’s Board of Directors) and (ii) “Change of Control Period” means the period commencing three months prior to the Change of Control and ending twelve (12) months after the Change of Control.</w:t>
      </w:r>
    </w:p>
    <w:p>
      <w:pPr>
        <w:spacing w:after="0" w:line="177" w:lineRule="exact"/>
        <w:rPr>
          <w:sz w:val="20"/>
          <w:szCs w:val="20"/>
          <w:color w:val="auto"/>
        </w:rPr>
      </w:pPr>
    </w:p>
    <w:p>
      <w:pPr>
        <w:ind w:left="600" w:hanging="596"/>
        <w:spacing w:after="0"/>
        <w:tabs>
          <w:tab w:leader="none" w:pos="600"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1"/>
          <w:szCs w:val="21"/>
          <w:color w:val="auto"/>
        </w:rPr>
        <w:t>This Agreement is the complete, final and exclusive embodiment of the entire agreement between you and the Company with regard to subject matter herein, and it supersedes and replaces any other agreements (whether written or unwritten) you may have with the Company concerning these matters. This Agreement is governed by the laws of the Commonwealth of Massachusetts, without any reference to conflicts of law principles, and it may not be modified or amended except in a written agreement signed by you and a duly authorized member of the Company’s Board of Directors.</w:t>
      </w:r>
    </w:p>
    <w:p>
      <w:pPr>
        <w:sectPr>
          <w:pgSz w:w="11900" w:h="16838" w:orient="portrait"/>
          <w:cols w:equalWidth="0" w:num="1">
            <w:col w:w="10620"/>
          </w:cols>
          <w:pgMar w:left="640" w:top="881" w:right="639" w:bottom="1440" w:gutter="0" w:footer="0" w:header="0"/>
        </w:sectPr>
      </w:pPr>
    </w:p>
    <w:bookmarkStart w:id="106" w:name="page107"/>
    <w:bookmarkEnd w:id="106"/>
    <w:p>
      <w:pPr>
        <w:jc w:val="both"/>
        <w:spacing w:after="0" w:line="262" w:lineRule="auto"/>
        <w:rPr>
          <w:sz w:val="20"/>
          <w:szCs w:val="20"/>
          <w:color w:val="auto"/>
        </w:rPr>
      </w:pPr>
      <w:r>
        <w:rPr>
          <w:rFonts w:ascii="Times New Roman" w:cs="Times New Roman" w:eastAsia="Times New Roman" w:hAnsi="Times New Roman"/>
          <w:sz w:val="21"/>
          <w:szCs w:val="21"/>
          <w:color w:val="auto"/>
        </w:rPr>
        <w:t>This Agreement may be executed in two or more counterparts, each of which will be 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u w:val="single" w:color="auto"/>
          <w:color w:val="auto"/>
        </w:rPr>
        <w:t>Signature Page to Follow</w:t>
      </w:r>
      <w:r>
        <w:rPr>
          <w:rFonts w:ascii="Times New Roman" w:cs="Times New Roman" w:eastAsia="Times New Roman" w:hAnsi="Times New Roman"/>
          <w:sz w:val="21"/>
          <w:szCs w:val="21"/>
          <w:color w:val="auto"/>
        </w:rPr>
        <w:t>]</w:t>
      </w:r>
    </w:p>
    <w:p>
      <w:pPr>
        <w:sectPr>
          <w:pgSz w:w="11900" w:h="16838" w:orient="portrait"/>
          <w:cols w:equalWidth="0" w:num="1">
            <w:col w:w="10600"/>
          </w:cols>
          <w:pgMar w:left="640" w:top="881" w:right="659" w:bottom="1440" w:gutter="0" w:footer="0" w:header="0"/>
        </w:sectPr>
      </w:pPr>
    </w:p>
    <w:bookmarkStart w:id="107" w:name="page108"/>
    <w:bookmarkEnd w:id="107"/>
    <w:p>
      <w:pPr>
        <w:spacing w:after="0" w:line="285" w:lineRule="auto"/>
        <w:rPr>
          <w:sz w:val="20"/>
          <w:szCs w:val="20"/>
          <w:color w:val="auto"/>
        </w:rPr>
      </w:pPr>
      <w:r>
        <w:rPr>
          <w:rFonts w:ascii="Times New Roman" w:cs="Times New Roman" w:eastAsia="Times New Roman" w:hAnsi="Times New Roman"/>
          <w:sz w:val="21"/>
          <w:szCs w:val="21"/>
          <w:color w:val="auto"/>
        </w:rPr>
        <w:t>To accept and agree to the terms of this Agreement and become eligible to receive the benefits described herein, please execute and return this Agreement and the General Release on or before February 18,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Daniel Hicklin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Daniel Hicklin President and CEO</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ACKNOWLEDGMENT AND ACCEPTANCE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200" w:lineRule="exact"/>
        <w:rPr>
          <w:sz w:val="20"/>
          <w:szCs w:val="20"/>
          <w:color w:val="auto"/>
        </w:rPr>
      </w:pPr>
    </w:p>
    <w:p>
      <w:pPr>
        <w:spacing w:after="0" w:line="314" w:lineRule="exact"/>
        <w:rPr>
          <w:sz w:val="20"/>
          <w:szCs w:val="20"/>
          <w:color w:val="auto"/>
        </w:rPr>
      </w:pPr>
    </w:p>
    <w:p>
      <w:pPr>
        <w:ind w:left="80"/>
        <w:spacing w:after="0"/>
        <w:tabs>
          <w:tab w:leader="none" w:pos="5240" w:val="left"/>
          <w:tab w:leader="none" w:pos="6060" w:val="left"/>
        </w:tabs>
        <w:rPr>
          <w:sz w:val="20"/>
          <w:szCs w:val="20"/>
          <w:color w:val="auto"/>
        </w:rPr>
      </w:pPr>
      <w:r>
        <w:rPr>
          <w:rFonts w:ascii="Times New Roman" w:cs="Times New Roman" w:eastAsia="Times New Roman" w:hAnsi="Times New Roman"/>
          <w:sz w:val="21"/>
          <w:szCs w:val="21"/>
          <w:color w:val="auto"/>
        </w:rPr>
        <w:t>/s/ Michael Urban</w:t>
      </w:r>
      <w:r>
        <w:rPr>
          <w:sz w:val="20"/>
          <w:szCs w:val="20"/>
          <w:color w:val="auto"/>
        </w:rPr>
        <w:tab/>
      </w: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2/23/2026</w:t>
      </w:r>
    </w:p>
    <w:p>
      <w:pPr>
        <w:spacing w:after="0" w:line="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Michael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68573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Exhibit A – General Release</w:t>
      </w:r>
    </w:p>
    <w:p>
      <w:pPr>
        <w:sectPr>
          <w:pgSz w:w="11900" w:h="16838" w:orient="portrait"/>
          <w:cols w:equalWidth="0" w:num="1">
            <w:col w:w="10600"/>
          </w:cols>
          <w:pgMar w:left="640" w:top="1132" w:right="659" w:bottom="1440" w:gutter="0" w:footer="0" w:header="0"/>
        </w:sectPr>
      </w:pPr>
    </w:p>
    <w:bookmarkStart w:id="108" w:name="page109"/>
    <w:bookmarkEnd w:id="108"/>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GENERAL RELEASE OF CLAIMS</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(TO BE SIGNED ON OR BEFORE FEBRUARY 18, 2026)</w:t>
      </w:r>
    </w:p>
    <w:p>
      <w:pPr>
        <w:spacing w:after="0" w:line="2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If I choose to timely sign and return this General Release of Claims (the “</w:t>
      </w:r>
      <w:r>
        <w:rPr>
          <w:rFonts w:ascii="Times New Roman" w:cs="Times New Roman" w:eastAsia="Times New Roman" w:hAnsi="Times New Roman"/>
          <w:sz w:val="21"/>
          <w:szCs w:val="21"/>
          <w:b w:val="1"/>
          <w:bCs w:val="1"/>
          <w:color w:val="auto"/>
        </w:rPr>
        <w:t>General Release</w:t>
      </w:r>
      <w:r>
        <w:rPr>
          <w:rFonts w:ascii="Times New Roman" w:cs="Times New Roman" w:eastAsia="Times New Roman" w:hAnsi="Times New Roman"/>
          <w:sz w:val="21"/>
          <w:szCs w:val="21"/>
          <w:color w:val="auto"/>
        </w:rPr>
        <w:t>”), Werewolf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will provide me with the benefits set forth in </w:t>
      </w:r>
      <w:r>
        <w:rPr>
          <w:rFonts w:ascii="Times New Roman" w:cs="Times New Roman" w:eastAsia="Times New Roman" w:hAnsi="Times New Roman"/>
          <w:sz w:val="21"/>
          <w:szCs w:val="21"/>
          <w:b w:val="1"/>
          <w:bCs w:val="1"/>
          <w:u w:val="single" w:color="auto"/>
          <w:color w:val="auto"/>
        </w:rPr>
        <w:t>Sections II, III and IV</w:t>
      </w:r>
      <w:r>
        <w:rPr>
          <w:rFonts w:ascii="Times New Roman" w:cs="Times New Roman" w:eastAsia="Times New Roman" w:hAnsi="Times New Roman"/>
          <w:sz w:val="21"/>
          <w:szCs w:val="21"/>
          <w:color w:val="auto"/>
        </w:rPr>
        <w:t xml:space="preserve"> of the Retention Agreement between me and the Company dated February 16, 2026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 understand that I am not entitled to such benefits unless I sign and return this General Release to the Company on or before February 18, 2026. Capitalized terms used in this General Release that are not defined herein shall have the meaning as defined in the Retention Agreement.</w:t>
      </w:r>
    </w:p>
    <w:p>
      <w:pPr>
        <w:spacing w:after="0" w:line="18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b w:val="1"/>
          <w:bCs w:val="1"/>
          <w:color w:val="auto"/>
        </w:rPr>
        <w:t>General Release</w:t>
      </w:r>
      <w:r>
        <w:rPr>
          <w:rFonts w:ascii="Times New Roman" w:cs="Times New Roman" w:eastAsia="Times New Roman" w:hAnsi="Times New Roman"/>
          <w:sz w:val="21"/>
          <w:szCs w:val="21"/>
          <w:color w:val="auto"/>
        </w:rPr>
        <w:t>. In exchange for the consideration provided to me under the Agreement to which I would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otherwise be entitled, including but not limited to the benefits set forth in </w:t>
      </w:r>
      <w:r>
        <w:rPr>
          <w:rFonts w:ascii="Times New Roman" w:cs="Times New Roman" w:eastAsia="Times New Roman" w:hAnsi="Times New Roman"/>
          <w:sz w:val="21"/>
          <w:szCs w:val="21"/>
          <w:b w:val="1"/>
          <w:bCs w:val="1"/>
          <w:u w:val="single" w:color="auto"/>
          <w:color w:val="auto"/>
        </w:rPr>
        <w:t>Sections II, III and IV</w:t>
      </w:r>
      <w:r>
        <w:rPr>
          <w:rFonts w:ascii="Times New Roman" w:cs="Times New Roman" w:eastAsia="Times New Roman" w:hAnsi="Times New Roman"/>
          <w:sz w:val="21"/>
          <w:szCs w:val="21"/>
          <w:color w:val="auto"/>
        </w:rPr>
        <w:t xml:space="preserve"> of the Agreement, I (for me and for any person who may make a claim by or through me (including without limitation, any current or former spouse(s), dependents, heirs, assignees, executors, attorneys, or agents)) hereby generally and completely release the Company and its current and former predecessors, successors, parents, direct and indirect subsidiaries, affiliates, investors, and related entities (collectively, the “</w:t>
      </w:r>
      <w:r>
        <w:rPr>
          <w:rFonts w:ascii="Times New Roman" w:cs="Times New Roman" w:eastAsia="Times New Roman" w:hAnsi="Times New Roman"/>
          <w:sz w:val="21"/>
          <w:szCs w:val="21"/>
          <w:b w:val="1"/>
          <w:bCs w:val="1"/>
          <w:color w:val="auto"/>
        </w:rPr>
        <w:t>Entities</w:t>
      </w:r>
      <w:r>
        <w:rPr>
          <w:rFonts w:ascii="Times New Roman" w:cs="Times New Roman" w:eastAsia="Times New Roman" w:hAnsi="Times New Roman"/>
          <w:sz w:val="21"/>
          <w:szCs w:val="21"/>
          <w:color w:val="auto"/>
        </w:rPr>
        <w:t>”) and each of the Entities’ respective current and former directors, officers, employees, shareholders, partners, members, agents, attorneys, insurers, assigns, and employee benefit plans of and from any and all claims, liabilities, and obligations, both known and unknown, that arise out of or are in any way related to events, acts, conduct, or omissions occurring prior to or on the date I sign this General Release (collectively, the “</w:t>
      </w:r>
      <w:r>
        <w:rPr>
          <w:rFonts w:ascii="Times New Roman" w:cs="Times New Roman" w:eastAsia="Times New Roman" w:hAnsi="Times New Roman"/>
          <w:sz w:val="21"/>
          <w:szCs w:val="21"/>
          <w:b w:val="1"/>
          <w:bCs w:val="1"/>
          <w:color w:val="auto"/>
        </w:rPr>
        <w:t>Released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b w:val="1"/>
          <w:bCs w:val="1"/>
          <w:color w:val="auto"/>
        </w:rPr>
        <w:t>Scope of Release</w:t>
      </w:r>
      <w:r>
        <w:rPr>
          <w:rFonts w:ascii="Times New Roman" w:cs="Times New Roman" w:eastAsia="Times New Roman" w:hAnsi="Times New Roman"/>
          <w:sz w:val="21"/>
          <w:szCs w:val="21"/>
          <w:color w:val="auto"/>
        </w:rPr>
        <w:t>. The Released Claims include, but are not limited to: (i) all claims arising out of or in any way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related to my employment with or services for any member of the Company, or the termination of that employment or those services; (ii) all claims or rights related to my compensation or benefits from the Company, including salary, bonuses, incentive compensation, commissions, paid time off, severance benefits pursuant to the Plan or otherwise, notice rights, transaction bonuses, fringe benefits, stock, stock options, restricted stock, units, or any other ownership interests in the Company; (iii) all claims for breach of contract (oral or written), wrongful termination, and breach of the implied covenant of good faith and fair dealing; (iv) all tort claims, including claims for fraud, inducement, misrepresentation, defamation, emotional distress, and discharge in violation of public policy; and (v) all constitutional, federal, state, and local statutory and common law claims, in each case, as amended, including, but not limited to, claims for discrimination, harassment, retaliation, interference, attorneys’ fees, and/or other claims arising under the federal Civil Rights Act of 1964, the federal Americans with Disabilities Act of 1990 and all similar state and local laws, the federal Family and Medical Leave Act and all similar state and local laws (the “</w:t>
      </w:r>
      <w:r>
        <w:rPr>
          <w:rFonts w:ascii="Times New Roman" w:cs="Times New Roman" w:eastAsia="Times New Roman" w:hAnsi="Times New Roman"/>
          <w:sz w:val="21"/>
          <w:szCs w:val="21"/>
          <w:b w:val="1"/>
          <w:bCs w:val="1"/>
          <w:color w:val="auto"/>
        </w:rPr>
        <w:t>FMLA</w:t>
      </w:r>
      <w:r>
        <w:rPr>
          <w:rFonts w:ascii="Times New Roman" w:cs="Times New Roman" w:eastAsia="Times New Roman" w:hAnsi="Times New Roman"/>
          <w:sz w:val="21"/>
          <w:szCs w:val="21"/>
          <w:color w:val="auto"/>
        </w:rPr>
        <w:t>”), the federal Equal Pay Act and all similar state and local laws, the federal Employee Retirement Income Security Act of 1974, the Federal Fair Credit Reporting Act and all similar state and local laws, the federal Worker Adjustment and Retraining Notification Act and all similar state and local laws, the Massachusetts Fair Employment Practices Act, the Massachusetts Equal Rights Act, the Massachusetts Wage Act, the Massachusetts Civil Rights Act, and any and all claims arising from or related to any other federal, state or local fair employment practices act, statute, code, regulation, and/or ordinance.</w:t>
      </w:r>
    </w:p>
    <w:p>
      <w:pPr>
        <w:sectPr>
          <w:pgSz w:w="11900" w:h="16838" w:orient="portrait"/>
          <w:cols w:equalWidth="0" w:num="1">
            <w:col w:w="10620"/>
          </w:cols>
          <w:pgMar w:left="640" w:top="1440" w:right="639" w:bottom="1440" w:gutter="0" w:footer="0" w:header="0"/>
        </w:sectPr>
      </w:pPr>
    </w:p>
    <w:bookmarkStart w:id="109" w:name="page110"/>
    <w:bookmarkEnd w:id="109"/>
    <w:p>
      <w:pPr>
        <w:jc w:val="both"/>
        <w:ind w:right="20"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Excluded Claims</w:t>
      </w:r>
      <w:r>
        <w:rPr>
          <w:rFonts w:ascii="Times New Roman" w:cs="Times New Roman" w:eastAsia="Times New Roman" w:hAnsi="Times New Roman"/>
          <w:sz w:val="21"/>
          <w:szCs w:val="21"/>
          <w:color w:val="auto"/>
        </w:rPr>
        <w:t>. The Released Claims do not include (i) any rights to indemnification I may have pursuant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 of the Company’s governing corporate documents, pursuant to any written indemnification agreement with the Company to which I am a party (if any), under applicable law, or pursuant to the terms and conditions of any directors and officers’ liability insurance policy of the Company; and (ii) any rights that are not waivable as a matter of law, including without limitation, any rights I may have to seek unemployment or workers’ compensation benefits.</w:t>
      </w:r>
    </w:p>
    <w:p>
      <w:pPr>
        <w:spacing w:after="0" w:line="174"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b w:val="1"/>
          <w:bCs w:val="1"/>
          <w:color w:val="auto"/>
        </w:rPr>
        <w:t>Protected Rights</w:t>
      </w:r>
      <w:r>
        <w:rPr>
          <w:rFonts w:ascii="Times New Roman" w:cs="Times New Roman" w:eastAsia="Times New Roman" w:hAnsi="Times New Roman"/>
          <w:sz w:val="21"/>
          <w:szCs w:val="21"/>
          <w:color w:val="auto"/>
        </w:rPr>
        <w:t>. I understand that nothing in this General Release prevents me from filing a charge or complaint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Equal Employment Opportunity Commission, the National Labor Relations Board, the Occupational Safety and Health Administration, the Securities and Exchange Commission or any other federal, state or local governmental agency or commission (collectively, the “</w:t>
      </w:r>
      <w:r>
        <w:rPr>
          <w:rFonts w:ascii="Times New Roman" w:cs="Times New Roman" w:eastAsia="Times New Roman" w:hAnsi="Times New Roman"/>
          <w:sz w:val="21"/>
          <w:szCs w:val="21"/>
          <w:b w:val="1"/>
          <w:bCs w:val="1"/>
          <w:color w:val="auto"/>
        </w:rPr>
        <w:t>Government Agencies</w:t>
      </w:r>
      <w:r>
        <w:rPr>
          <w:rFonts w:ascii="Times New Roman" w:cs="Times New Roman" w:eastAsia="Times New Roman" w:hAnsi="Times New Roman"/>
          <w:sz w:val="21"/>
          <w:szCs w:val="21"/>
          <w:color w:val="auto"/>
        </w:rPr>
        <w:t>”). This General Release does not limit my ability to communicate with any Government Agencies or otherwise participate in any investigation or proceeding that may be conducted by any Government Agencies, including providing documents or other information, without notice to the Company. While this General Release does not limit my right to receive an award for information provided to the Securities and Exchange Commission or to receive a monetary award from a government-administered whistleblower award program, I understand and agree that, to maximum extent permitted by law, I am otherwise waiving any and all rights I may have to individual relief based on any claims that I have released and any rights I have waived by signing this General Release. Nothing in this General Release prevents me from discussing or disclosing employee wages, benefits or terms and conditions of employment, or information about unfair or unlawful acts or employment practices in the workplace, such as harassment or discrimination or any other conduct that I have reason to believe is unlawful. Additionally, I further acknowledge that the Company has advised me that I will not be held civilly or criminally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or (c) is made to an attorney or is used in a court proceeding in connection with a lawsuit alleging retaliation for reporting a suspected violation of law, provided that the trade secret is filed under seal and not disclosed except pursuant to court order.</w:t>
      </w:r>
    </w:p>
    <w:p>
      <w:pPr>
        <w:spacing w:after="0" w:line="179"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b w:val="1"/>
          <w:bCs w:val="1"/>
          <w:color w:val="auto"/>
        </w:rPr>
        <w:t>Representations</w:t>
      </w:r>
      <w:r>
        <w:rPr>
          <w:rFonts w:ascii="Times New Roman" w:cs="Times New Roman" w:eastAsia="Times New Roman" w:hAnsi="Times New Roman"/>
          <w:sz w:val="21"/>
          <w:szCs w:val="21"/>
          <w:color w:val="auto"/>
        </w:rPr>
        <w:t>. I hereby represent that, as of the date I execute this General Release: I have been paid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owed and for all time worked; I have received all the leave and leave benefits and protections for which I am eligible pursuant to FMLA or any applicable federal or state law or Company policy; and I have not suffered any on-the-job injury or illness for which I have not already filed a workers’ compensation claim. I further acknowledge and represent that:</w:t>
      </w:r>
    </w:p>
    <w:p>
      <w:pPr>
        <w:spacing w:after="0" w:line="2" w:lineRule="exact"/>
        <w:rPr>
          <w:sz w:val="20"/>
          <w:szCs w:val="20"/>
          <w:color w:val="auto"/>
        </w:rPr>
      </w:pPr>
    </w:p>
    <w:p>
      <w:pPr>
        <w:jc w:val="both"/>
        <w:ind w:firstLine="4"/>
        <w:spacing w:after="0" w:line="255" w:lineRule="auto"/>
        <w:tabs>
          <w:tab w:leader="none" w:pos="29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am not relying upon any statements, understandings, representations, expectations, or agreements other than those expressly set forth in the Agreement and General Release Agreement; (ii) I have made my own investigation of the facts and I am relying solely upon my own knowledge; (iii) I am knowingly waiving any claim that the Agreement or General Release were induced by any misrepresentation or nondisclosure; (iv) I have read and understand the terms and effect of the Agreement and General Release; and (v) I am knowingly and voluntarily agreeing to all of the terms set forth in the Agreement and General Release and to be bound by the Agreement and General Release.</w:t>
      </w:r>
    </w:p>
    <w:p>
      <w:pPr>
        <w:sectPr>
          <w:pgSz w:w="11900" w:h="16838" w:orient="portrait"/>
          <w:cols w:equalWidth="0" w:num="1">
            <w:col w:w="10620"/>
          </w:cols>
          <w:pgMar w:left="640" w:top="877" w:right="639" w:bottom="1440" w:gutter="0" w:footer="0" w:header="0"/>
        </w:sectPr>
      </w:pPr>
    </w:p>
    <w:bookmarkStart w:id="110" w:name="page111"/>
    <w:bookmarkEnd w:id="110"/>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Signature Page to General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I UNDERSTAND THAT THIS GENERAL RELEASE INCLUDES A RELEASE OF ALL KNOWN AND UNKNOWN CLAIMS, EVEN THOSE UNKNOWN CLAIMS THAT, IF KNOWN BY ME, WOULD AFFECT MY DECISION TO ACCEPT THIS GENERAL RELEASE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/s/ Michael Urban</w:t>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Michael 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28606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0"/>
        <w:spacing w:after="0"/>
        <w:tabs>
          <w:tab w:leader="none" w:pos="800" w:val="left"/>
        </w:tabs>
        <w:rPr>
          <w:sz w:val="20"/>
          <w:szCs w:val="20"/>
          <w:color w:val="auto"/>
        </w:rPr>
      </w:pPr>
      <w:r>
        <w:rPr>
          <w:rFonts w:ascii="Times New Roman" w:cs="Times New Roman" w:eastAsia="Times New Roman" w:hAnsi="Times New Roman"/>
          <w:sz w:val="21"/>
          <w:szCs w:val="21"/>
          <w:color w:val="auto"/>
        </w:rPr>
        <w:t>Date:</w:t>
        <w:tab/>
        <w:t>2/23/2026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24130</wp:posOffset>
            </wp:positionV>
            <wp:extent cx="23977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ectPr>
          <w:pgSz w:w="11900" w:h="16838" w:orient="portrait"/>
          <w:cols w:equalWidth="0" w:num="1">
            <w:col w:w="10600"/>
          </w:cols>
          <w:pgMar w:left="640" w:top="1440" w:right="65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WEREWOLF THERAPEUTICS,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200 Talcott Ave</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w:t>
      </w:r>
      <w:r>
        <w:rPr>
          <w:rFonts w:ascii="Times New Roman" w:cs="Times New Roman" w:eastAsia="Times New Roman" w:hAnsi="Times New Roman"/>
          <w:sz w:val="16"/>
          <w:szCs w:val="16"/>
          <w:b w:val="1"/>
          <w:bCs w:val="1"/>
          <w:color w:val="auto"/>
        </w:rPr>
        <w:t>ATERTOWN</w:t>
      </w:r>
      <w:r>
        <w:rPr>
          <w:rFonts w:ascii="Times New Roman" w:cs="Times New Roman" w:eastAsia="Times New Roman" w:hAnsi="Times New Roman"/>
          <w:sz w:val="21"/>
          <w:szCs w:val="21"/>
          <w:b w:val="1"/>
          <w:bCs w:val="1"/>
          <w:color w:val="auto"/>
        </w:rPr>
        <w:t>, MA 02472</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16, 2026</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Steven Bloom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 Retention Agreement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Steve:</w:t>
      </w:r>
    </w:p>
    <w:p>
      <w:pPr>
        <w:spacing w:after="0" w:line="21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1"/>
          <w:szCs w:val="21"/>
          <w:color w:val="auto"/>
        </w:rPr>
        <w:t>This letter sets forth the terms of the retention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that Werewolf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is offering to you with respect to your agreement to continue to provide services to the Company. Except as provided in </w:t>
      </w:r>
      <w:r>
        <w:rPr>
          <w:rFonts w:ascii="Times New Roman" w:cs="Times New Roman" w:eastAsia="Times New Roman" w:hAnsi="Times New Roman"/>
          <w:sz w:val="21"/>
          <w:szCs w:val="21"/>
          <w:b w:val="1"/>
          <w:bCs w:val="1"/>
          <w:u w:val="single" w:color="auto"/>
          <w:color w:val="auto"/>
        </w:rPr>
        <w:t>Section V</w:t>
      </w:r>
      <w:r>
        <w:rPr>
          <w:rFonts w:ascii="Times New Roman" w:cs="Times New Roman" w:eastAsia="Times New Roman" w:hAnsi="Times New Roman"/>
          <w:sz w:val="21"/>
          <w:szCs w:val="21"/>
          <w:color w:val="auto"/>
        </w:rPr>
        <w:t xml:space="preserve"> below, this Agreement does not modify the terms of your employment, or any agreement relating to confidentiality, trade secrets, and non-competition/non-solicitation, each of which shall continue in full force and effect.</w:t>
      </w:r>
    </w:p>
    <w:p>
      <w:pPr>
        <w:spacing w:after="0" w:line="158" w:lineRule="exact"/>
        <w:rPr>
          <w:sz w:val="20"/>
          <w:szCs w:val="20"/>
          <w:color w:val="auto"/>
        </w:rPr>
      </w:pPr>
    </w:p>
    <w:p>
      <w:pPr>
        <w:ind w:left="620" w:hanging="616"/>
        <w:spacing w:after="0"/>
        <w:tabs>
          <w:tab w:leader="none" w:pos="62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Effective Date of this Agreement</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1"/>
          <w:szCs w:val="21"/>
          <w:color w:val="auto"/>
        </w:rPr>
        <w:t>This Agreement will be effective, and you hereby consent to the terms and conditions herein, on the date you execute the Agreement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provided that you must return an executed copy of this Agreement, and the General Release (as defined below), to the Company on or before February 19, 2026.</w:t>
      </w:r>
    </w:p>
    <w:p>
      <w:pPr>
        <w:spacing w:after="0" w:line="171" w:lineRule="exact"/>
        <w:rPr>
          <w:sz w:val="20"/>
          <w:szCs w:val="20"/>
          <w:color w:val="auto"/>
        </w:rPr>
      </w:pPr>
    </w:p>
    <w:p>
      <w:pPr>
        <w:ind w:left="640" w:hanging="636"/>
        <w:spacing w:after="0"/>
        <w:tabs>
          <w:tab w:leader="none" w:pos="64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Retention Period</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1"/>
          <w:szCs w:val="21"/>
          <w:color w:val="auto"/>
        </w:rPr>
        <w:t>You agree and acknowledge that that at all times your employment relationship with the Company will remain at-will, meaning you may terminate your employment at any time and for any reason whatsoever simply by notifying the Company; and the Company may terminate your employment at any time with or without prior notice or Cause (as defined below). For purposes of this Agreement, “Cause” means any of: (a) your conviction of, or plea of guilty or nolo contendere to, any crime involving dishonesty or moral turpitude or any felony; or (b) a good faith finding by the Company’s Board of Directors that you have (i) engaged in dishonesty, willful misconduct or gross negligence that has a material adverse effect on the Company, (ii) committed an act that materially injures or would reasonably be expected to materially injure the reputation, business or business relationships of the Company, (iii) materially breached the terms of any restrictive covenants or confidentiality agreement with the Company (and not cured same within any cure period applicable to such covenants or confidentiality agreement); or (iv) failed or refused to comply in any material respect with the Company’s material policies or procedures and in a manner that materially injures or would reasonably be expected to materially injure the reputation, business or business relationships of the Company, provided that in the case of (iv) that you were given written notice of such violation or failure by the Board of Directors and a period of 30 days to cure (provided that the Board of Directors reasonably determines that such violation or failure is curable).</w:t>
      </w:r>
    </w:p>
    <w:p>
      <w:pPr>
        <w:spacing w:after="0" w:line="16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21"/>
          <w:szCs w:val="21"/>
          <w:color w:val="auto"/>
        </w:rPr>
        <w:t>Between the Effective Date and May 15, 2026 (the “</w:t>
      </w:r>
      <w:r>
        <w:rPr>
          <w:rFonts w:ascii="Times New Roman" w:cs="Times New Roman" w:eastAsia="Times New Roman" w:hAnsi="Times New Roman"/>
          <w:sz w:val="21"/>
          <w:szCs w:val="21"/>
          <w:b w:val="1"/>
          <w:bCs w:val="1"/>
          <w:color w:val="auto"/>
        </w:rPr>
        <w:t>Retention Date</w:t>
      </w:r>
      <w:r>
        <w:rPr>
          <w:rFonts w:ascii="Times New Roman" w:cs="Times New Roman" w:eastAsia="Times New Roman" w:hAnsi="Times New Roman"/>
          <w:sz w:val="21"/>
          <w:szCs w:val="21"/>
          <w:color w:val="auto"/>
        </w:rPr>
        <w:t>” and such period, the “</w:t>
      </w:r>
      <w:r>
        <w:rPr>
          <w:rFonts w:ascii="Times New Roman" w:cs="Times New Roman" w:eastAsia="Times New Roman" w:hAnsi="Times New Roman"/>
          <w:sz w:val="21"/>
          <w:szCs w:val="21"/>
          <w:b w:val="1"/>
          <w:bCs w:val="1"/>
          <w:color w:val="auto"/>
        </w:rPr>
        <w:t>Retention Period</w:t>
      </w:r>
      <w:r>
        <w:rPr>
          <w:rFonts w:ascii="Times New Roman" w:cs="Times New Roman" w:eastAsia="Times New Roman" w:hAnsi="Times New Roman"/>
          <w:sz w:val="21"/>
          <w:szCs w:val="21"/>
          <w:color w:val="auto"/>
        </w:rPr>
        <w:t>”), (a) you agree that you will work with the Company on a full time basis to</w:t>
      </w:r>
    </w:p>
    <w:p>
      <w:pPr>
        <w:sectPr>
          <w:pgSz w:w="11900" w:h="16838" w:orient="portrait"/>
          <w:cols w:equalWidth="0" w:num="1">
            <w:col w:w="10620"/>
          </w:cols>
          <w:pgMar w:left="640" w:top="95" w:right="639" w:bottom="1440" w:gutter="0" w:footer="0" w:header="0"/>
        </w:sectPr>
      </w:pPr>
    </w:p>
    <w:bookmarkStart w:id="112" w:name="page113"/>
    <w:bookmarkEnd w:id="112"/>
    <w:p>
      <w:pPr>
        <w:spacing w:after="0" w:line="17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21"/>
          <w:szCs w:val="21"/>
          <w:color w:val="auto"/>
        </w:rPr>
        <w:t>support the Company’s business as directed by the Company’s Board of Directors, (b) the Company will continue to pay you your regular base salary, and (c) you will continue to be eligible to participate in the employee benefit plans in which you are currently enrolled (pursuant to the terms and conditions of those benefit plans).</w:t>
      </w:r>
    </w:p>
    <w:p>
      <w:pPr>
        <w:spacing w:after="0" w:line="171" w:lineRule="exact"/>
        <w:rPr>
          <w:sz w:val="20"/>
          <w:szCs w:val="20"/>
          <w:color w:val="auto"/>
        </w:rPr>
      </w:pPr>
    </w:p>
    <w:p>
      <w:pPr>
        <w:ind w:left="640" w:hanging="636"/>
        <w:spacing w:after="0"/>
        <w:tabs>
          <w:tab w:leader="none" w:pos="640" w:val="left"/>
        </w:tabs>
        <w:numPr>
          <w:ilvl w:val="0"/>
          <w:numId w:val="7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Eligibility for Retention Bonus and Additional Bonus Payment</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21"/>
          <w:szCs w:val="21"/>
          <w:color w:val="auto"/>
        </w:rPr>
        <w:t xml:space="preserve">If you sign, date, and return to the Company (without alteration), the General Release of Claims attached hereto as </w:t>
      </w:r>
      <w:r>
        <w:rPr>
          <w:rFonts w:ascii="Times New Roman" w:cs="Times New Roman" w:eastAsia="Times New Roman" w:hAnsi="Times New Roman"/>
          <w:sz w:val="21"/>
          <w:szCs w:val="21"/>
          <w:b w:val="1"/>
          <w:bCs w:val="1"/>
          <w:i w:val="1"/>
          <w:iCs w:val="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General Release</w:t>
      </w:r>
      <w:r>
        <w:rPr>
          <w:rFonts w:ascii="Times New Roman" w:cs="Times New Roman" w:eastAsia="Times New Roman" w:hAnsi="Times New Roman"/>
          <w:sz w:val="21"/>
          <w:szCs w:val="21"/>
          <w:color w:val="auto"/>
        </w:rPr>
        <w:t>”) on or before February 19, 2026, you will be eligible for the following benefits.</w:t>
      </w:r>
    </w:p>
    <w:p>
      <w:pPr>
        <w:spacing w:after="0" w:line="134" w:lineRule="exact"/>
        <w:rPr>
          <w:sz w:val="20"/>
          <w:szCs w:val="20"/>
          <w:color w:val="auto"/>
        </w:rPr>
      </w:pPr>
    </w:p>
    <w:p>
      <w:pPr>
        <w:jc w:val="both"/>
        <w:ind w:left="960" w:hanging="319"/>
        <w:spacing w:after="0" w:line="256" w:lineRule="auto"/>
        <w:tabs>
          <w:tab w:leader="none" w:pos="957"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Retention Bonus</w:t>
      </w:r>
      <w:r>
        <w:rPr>
          <w:rFonts w:ascii="Times New Roman" w:cs="Times New Roman" w:eastAsia="Times New Roman" w:hAnsi="Times New Roman"/>
          <w:sz w:val="21"/>
          <w:szCs w:val="21"/>
          <w:color w:val="auto"/>
        </w:rPr>
        <w:t>. You will be eligible for a retention bonus in the amount of $150,000 (the “</w:t>
      </w:r>
      <w:r>
        <w:rPr>
          <w:rFonts w:ascii="Times New Roman" w:cs="Times New Roman" w:eastAsia="Times New Roman" w:hAnsi="Times New Roman"/>
          <w:sz w:val="21"/>
          <w:szCs w:val="21"/>
          <w:b w:val="1"/>
          <w:bCs w:val="1"/>
          <w:color w:val="auto"/>
        </w:rPr>
        <w:t>Retention Bonus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less standard payroll deductions and tax withholdings, to be paid to you within fifteen (15) days of the Effective Date. The Retention Bonus is an advance and is being paid to you prior to being earned. You will earn the Retention Bonus on the Retention Date, contingent on your continued employment in good standing with the Company through and including the Retention Date. If, at any time prior to the Retention Date, you provide notice of your employment resignation, or actually resign your employment for any reason, or the Company terminates your employment for Cause, you must repay one-hundred percent (100%) of the Retention Bonus to the Company within thirty (30) days following your employment termination date. For the avoidance of doubt, if at any time prior to the Retention Date, your employment is terminated by the Company without Cause, or your employment is terminated due to your death or disability, then you will not be required to repay the Retention Bonus any portion thereof.</w:t>
      </w:r>
    </w:p>
    <w:p>
      <w:pPr>
        <w:spacing w:after="0" w:line="187" w:lineRule="exact"/>
        <w:rPr>
          <w:rFonts w:ascii="Times New Roman" w:cs="Times New Roman" w:eastAsia="Times New Roman" w:hAnsi="Times New Roman"/>
          <w:sz w:val="21"/>
          <w:szCs w:val="21"/>
          <w:color w:val="auto"/>
        </w:rPr>
      </w:pPr>
    </w:p>
    <w:p>
      <w:pPr>
        <w:jc w:val="both"/>
        <w:ind w:left="960" w:hanging="319"/>
        <w:spacing w:after="0" w:line="255" w:lineRule="auto"/>
        <w:tabs>
          <w:tab w:leader="none" w:pos="95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Additional Bonus Payment</w:t>
      </w:r>
      <w:r>
        <w:rPr>
          <w:rFonts w:ascii="Times New Roman" w:cs="Times New Roman" w:eastAsia="Times New Roman" w:hAnsi="Times New Roman"/>
          <w:sz w:val="21"/>
          <w:szCs w:val="21"/>
          <w:color w:val="auto"/>
        </w:rPr>
        <w:t>. You will also be eligible to receive an additional bonus payment in the total amount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$150,000 (the “</w:t>
      </w:r>
      <w:r>
        <w:rPr>
          <w:rFonts w:ascii="Times New Roman" w:cs="Times New Roman" w:eastAsia="Times New Roman" w:hAnsi="Times New Roman"/>
          <w:sz w:val="21"/>
          <w:szCs w:val="21"/>
          <w:b w:val="1"/>
          <w:bCs w:val="1"/>
          <w:color w:val="auto"/>
        </w:rPr>
        <w:t>Additional Bonus Payment</w:t>
      </w:r>
      <w:r>
        <w:rPr>
          <w:rFonts w:ascii="Times New Roman" w:cs="Times New Roman" w:eastAsia="Times New Roman" w:hAnsi="Times New Roman"/>
          <w:sz w:val="21"/>
          <w:szCs w:val="21"/>
          <w:color w:val="auto"/>
        </w:rPr>
        <w:t xml:space="preserve">”). Contingent on your continued employment in good standing with the Company through each applicable payment date, the Additional Bonus Payment will be paid in equal installments, less standard payroll deductions and tax withholdings, on the Company’s regular payroll schedule during the Retention Period. If, prior to the end of the Retention Period, the Company terminates your employment without Cause, and you satisfy the Release Requirement (as defined in Section IV below), you will be entitled to a lump sum payment equal to an amount equal to the Additional Bonus Payment </w:t>
      </w:r>
      <w:r>
        <w:rPr>
          <w:rFonts w:ascii="Times New Roman" w:cs="Times New Roman" w:eastAsia="Times New Roman" w:hAnsi="Times New Roman"/>
          <w:sz w:val="21"/>
          <w:szCs w:val="21"/>
          <w:b w:val="1"/>
          <w:bCs w:val="1"/>
          <w:i w:val="1"/>
          <w:iCs w:val="1"/>
          <w:u w:val="single" w:color="auto"/>
          <w:color w:val="auto"/>
        </w:rPr>
        <w:t>minus</w:t>
      </w:r>
      <w:r>
        <w:rPr>
          <w:rFonts w:ascii="Times New Roman" w:cs="Times New Roman" w:eastAsia="Times New Roman" w:hAnsi="Times New Roman"/>
          <w:sz w:val="21"/>
          <w:szCs w:val="21"/>
          <w:color w:val="auto"/>
        </w:rPr>
        <w:t xml:space="preserve"> any portion of the Additional Bonus Payment paid prior to such termination of employment. For the avoidance of doubt, if you provide notice of your employment resignation, or actually resign your employment for any reason, or the Company terminates your employment for Cause, before the Retention Date, you will no longer be eligible for any unpaid portion of the Additional Bonus Payment.</w:t>
      </w:r>
    </w:p>
    <w:p>
      <w:pPr>
        <w:spacing w:after="0" w:line="18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Equity Treatment</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In addition to your eligibility for the benefits described in </w:t>
      </w:r>
      <w:r>
        <w:rPr>
          <w:rFonts w:ascii="Times New Roman" w:cs="Times New Roman" w:eastAsia="Times New Roman" w:hAnsi="Times New Roman"/>
          <w:sz w:val="21"/>
          <w:szCs w:val="21"/>
          <w:b w:val="1"/>
          <w:bCs w:val="1"/>
          <w:u w:val="single" w:color="auto"/>
          <w:color w:val="auto"/>
        </w:rPr>
        <w:t>Section III</w:t>
      </w:r>
      <w:r>
        <w:rPr>
          <w:rFonts w:ascii="Times New Roman" w:cs="Times New Roman" w:eastAsia="Times New Roman" w:hAnsi="Times New Roman"/>
          <w:sz w:val="21"/>
          <w:szCs w:val="21"/>
          <w:color w:val="auto"/>
        </w:rPr>
        <w:t xml:space="preserve"> above, and contingent on your continued employment in good standing with the Company through the Retention Date (or such earlier date on which your employment is terminated by the Company without Cause), if you return to the Company a signed and dated general release of all known and unknown claims in a separation agreement acceptable to the Company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within the applicable deadline set forth therein, but in no event later than forty-five (45) calendar days following the</w:t>
      </w:r>
    </w:p>
    <w:p>
      <w:pPr>
        <w:sectPr>
          <w:pgSz w:w="11900" w:h="16838" w:orient="portrait"/>
          <w:cols w:equalWidth="0" w:num="1">
            <w:col w:w="10620"/>
          </w:cols>
          <w:pgMar w:left="640" w:top="1440" w:right="639" w:bottom="1440" w:gutter="0" w:footer="0" w:header="0"/>
        </w:sectPr>
      </w:pPr>
    </w:p>
    <w:bookmarkStart w:id="113" w:name="page114"/>
    <w:bookmarkEnd w:id="113"/>
    <w:p>
      <w:pPr>
        <w:jc w:val="both"/>
        <w:spacing w:after="0" w:line="260" w:lineRule="auto"/>
        <w:rPr>
          <w:sz w:val="20"/>
          <w:szCs w:val="20"/>
          <w:color w:val="auto"/>
        </w:rPr>
      </w:pPr>
      <w:r>
        <w:rPr>
          <w:rFonts w:ascii="Times New Roman" w:cs="Times New Roman" w:eastAsia="Times New Roman" w:hAnsi="Times New Roman"/>
          <w:sz w:val="21"/>
          <w:szCs w:val="21"/>
          <w:color w:val="auto"/>
        </w:rPr>
        <w:t>Retention Date, and you permit the Release to become effective and irrevocable in accordance with its terms (the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Requirement</w:t>
      </w:r>
      <w:r>
        <w:rPr>
          <w:rFonts w:ascii="Times New Roman" w:cs="Times New Roman" w:eastAsia="Times New Roman" w:hAnsi="Times New Roman"/>
          <w:sz w:val="21"/>
          <w:szCs w:val="21"/>
          <w:color w:val="auto"/>
        </w:rPr>
        <w:t>”), your outstanding stock option awards from the Company (the “</w:t>
      </w:r>
      <w:r>
        <w:rPr>
          <w:rFonts w:ascii="Times New Roman" w:cs="Times New Roman" w:eastAsia="Times New Roman" w:hAnsi="Times New Roman"/>
          <w:sz w:val="21"/>
          <w:szCs w:val="21"/>
          <w:b w:val="1"/>
          <w:bCs w:val="1"/>
          <w:color w:val="auto"/>
        </w:rPr>
        <w:t>Option Awards</w:t>
      </w:r>
      <w:r>
        <w:rPr>
          <w:rFonts w:ascii="Times New Roman" w:cs="Times New Roman" w:eastAsia="Times New Roman" w:hAnsi="Times New Roman"/>
          <w:sz w:val="21"/>
          <w:szCs w:val="21"/>
          <w:color w:val="auto"/>
        </w:rPr>
        <w:t>”) shall be amended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the right to exercise the vested Option Awards shall terminate on the Final Exercise Date (as defined in the applicable option grant documents). Except as set forth in the prior sentence, your vested Option Awards will continue to be governed in all respects by the terms and conditions of the applicable Company stock incentive plan and your option award grant documents.</w:t>
      </w:r>
    </w:p>
    <w:p>
      <w:pPr>
        <w:spacing w:after="0" w:line="166" w:lineRule="exact"/>
        <w:rPr>
          <w:sz w:val="20"/>
          <w:szCs w:val="20"/>
          <w:color w:val="auto"/>
        </w:rPr>
      </w:pPr>
    </w:p>
    <w:p>
      <w:pPr>
        <w:ind w:left="600" w:hanging="596"/>
        <w:spacing w:after="0"/>
        <w:tabs>
          <w:tab w:leader="none" w:pos="600"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Waiver of Eligibility for Severance Benefits</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b w:val="1"/>
          <w:bCs w:val="1"/>
          <w:color w:val="auto"/>
        </w:rPr>
      </w:pPr>
    </w:p>
    <w:p>
      <w:pPr>
        <w:jc w:val="both"/>
        <w:ind w:firstLine="407"/>
        <w:spacing w:after="0" w:line="254" w:lineRule="auto"/>
        <w:tabs>
          <w:tab w:leader="none" w:pos="943"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expressly consent to the revised employment compensation, terms and benefits provided to you in this Agreement. Additionally, you agree and acknowledge, in consideration of the employment compensation, terms, and benefits provided to you by this Agreement and as part of your continuing employment, that, upon the termination of your Company employment, you will not be eligible for, and will not receive, any severance pursuant to the Company’s Severance Benefits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or otherwise. You further expressly waive any claim or right you may have to receive such severance benefits pursuant to the Plan or otherwise; provided that, and notwithstanding the foregoing, (A) at the end of the Retention Period, or upon the earlier termination of your employment by the Company other than as a Qualifying Termination and other than by the Company for Cause, you will remain eligible for a payment equal to Company contributions to the cost of COBRA coverage on behalf of you and any applicable dependents for nine months (such costs shall be determined on the same basis as the Company’s contribution to Company-provided health and dental insurance coverage in effect for an active employee with the same coverage elections; provided that if the Company’s provision of such payment would violate the nondiscrimination requirements of applicable law, this benefit will not apply), in each case less standard payroll deductions and tax withholdings and (B) if you incur a Qualifying Termination (as defined below) during the Change of Control Period (as defined below), in addition to the other amounts provided herein, you will remain eligible for (i) a payment equal to three months of your base salary, (ii) a bonus amount equal to your 2026 target annual bonus, and (iii) a payment equal to Company contributions to the cost of COBRA coverage on behalf of you and any applicable dependents for three months (such costs shall be determined on the same basis as the Company’s contribution to Company-provided health and dental insurance coverage in effect for an active employee with the same coverage elections; provided that if the Company’s provision of such payment would violate the nondiscrimination requirements of applicable law, this benefit will not apply), in each case less standard payroll deductions and tax withholdings. In addition, upon a Change of Control (as defined below) the vesting of your then-unvested equity awards that vest based solely on the passage of time shall be accelerated, such that all then-unvested equity awards that vest based solely on the passage of time vest and become fully exercisable or non-forfeitable as of the later of immediately prior to the closing of the Change in Control and the termination date.</w:t>
      </w:r>
    </w:p>
    <w:p>
      <w:pPr>
        <w:spacing w:after="0" w:line="3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For purpose of this Agreement, (i) a “Qualifying Termination” means a termination that would constitute a Change of Control Termination (as defined in the Plan), provided that the underlying “Change of Control (as defined in the Plan) results in, or the Company is otherwise able to, satisfy all of its liabilities (as determined by the Company’s Board of Directors) and (ii) “Change of Control Period” means the period commencing three months prior to the Change of Control and ending twelve (12) months after the Change of Control.</w:t>
      </w:r>
    </w:p>
    <w:p>
      <w:pPr>
        <w:spacing w:after="0" w:line="177" w:lineRule="exact"/>
        <w:rPr>
          <w:sz w:val="20"/>
          <w:szCs w:val="20"/>
          <w:color w:val="auto"/>
        </w:rPr>
      </w:pPr>
    </w:p>
    <w:p>
      <w:pPr>
        <w:ind w:left="600" w:hanging="596"/>
        <w:spacing w:after="0"/>
        <w:tabs>
          <w:tab w:leader="none" w:pos="600"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21"/>
          <w:szCs w:val="21"/>
          <w:color w:val="auto"/>
        </w:rPr>
        <w:t>This Agreement is the complete, final and exclusive embodiment of the entire agreement between you and the Company with regard to subject matter herein, and it supersedes and replaces any other agreements (whether written or unwritten) you may have with the Company</w:t>
      </w:r>
    </w:p>
    <w:p>
      <w:pPr>
        <w:sectPr>
          <w:pgSz w:w="11900" w:h="16838" w:orient="portrait"/>
          <w:cols w:equalWidth="0" w:num="1">
            <w:col w:w="10620"/>
          </w:cols>
          <w:pgMar w:left="640" w:top="877" w:right="639" w:bottom="1440" w:gutter="0" w:footer="0" w:header="0"/>
        </w:sectPr>
      </w:pPr>
    </w:p>
    <w:bookmarkStart w:id="114" w:name="page115"/>
    <w:bookmarkEnd w:id="114"/>
    <w:p>
      <w:pPr>
        <w:jc w:val="both"/>
        <w:spacing w:after="0" w:line="267" w:lineRule="auto"/>
        <w:rPr>
          <w:sz w:val="20"/>
          <w:szCs w:val="20"/>
          <w:color w:val="auto"/>
        </w:rPr>
      </w:pPr>
      <w:r>
        <w:rPr>
          <w:rFonts w:ascii="Times New Roman" w:cs="Times New Roman" w:eastAsia="Times New Roman" w:hAnsi="Times New Roman"/>
          <w:sz w:val="21"/>
          <w:szCs w:val="21"/>
          <w:color w:val="auto"/>
        </w:rPr>
        <w:t>concerning these matters. This Agreement is governed by the laws of the Commonwealth of Massachusetts, without any reference to conflicts of law principles, and it may not be modified or amended except in a written agreement signed by you and a duly authorized member of the Company’s Board of Directors.</w:t>
      </w:r>
    </w:p>
    <w:p>
      <w:pPr>
        <w:spacing w:after="0" w:line="1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This Agreement may be executed in two or more counterparts, each of which will be 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u w:val="single" w:color="auto"/>
          <w:color w:val="auto"/>
        </w:rPr>
        <w:t>Signature Page to Follow</w:t>
      </w:r>
      <w:r>
        <w:rPr>
          <w:rFonts w:ascii="Times New Roman" w:cs="Times New Roman" w:eastAsia="Times New Roman" w:hAnsi="Times New Roman"/>
          <w:sz w:val="21"/>
          <w:szCs w:val="21"/>
          <w:color w:val="auto"/>
        </w:rPr>
        <w:t>]</w:t>
      </w:r>
    </w:p>
    <w:p>
      <w:pPr>
        <w:sectPr>
          <w:pgSz w:w="11900" w:h="16838" w:orient="portrait"/>
          <w:cols w:equalWidth="0" w:num="1">
            <w:col w:w="10600"/>
          </w:cols>
          <w:pgMar w:left="640" w:top="881" w:right="659" w:bottom="1440" w:gutter="0" w:footer="0" w:header="0"/>
        </w:sectPr>
      </w:pPr>
    </w:p>
    <w:bookmarkStart w:id="115" w:name="page116"/>
    <w:bookmarkEnd w:id="115"/>
    <w:p>
      <w:pPr>
        <w:spacing w:after="0" w:line="157"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21"/>
          <w:szCs w:val="21"/>
          <w:color w:val="auto"/>
        </w:rPr>
        <w:t>To accept and agree to the terms of this Agreement and become eligible to receive the benefits described herein, please execute and return this Agreement and the General Release on or before February 19,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Sincerely,</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Daniel Hicklin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Daniel Hicklin President and CEO</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ACKNOWLEDGMENT AND ACCEPTANCE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w:t>
      </w:r>
    </w:p>
    <w:p>
      <w:pPr>
        <w:spacing w:after="0" w:line="200" w:lineRule="exact"/>
        <w:rPr>
          <w:sz w:val="20"/>
          <w:szCs w:val="20"/>
          <w:color w:val="auto"/>
        </w:rPr>
      </w:pPr>
    </w:p>
    <w:p>
      <w:pPr>
        <w:spacing w:after="0" w:line="314" w:lineRule="exact"/>
        <w:rPr>
          <w:sz w:val="20"/>
          <w:szCs w:val="20"/>
          <w:color w:val="auto"/>
        </w:rPr>
      </w:pPr>
    </w:p>
    <w:p>
      <w:pPr>
        <w:ind w:left="80"/>
        <w:spacing w:after="0"/>
        <w:tabs>
          <w:tab w:leader="none" w:pos="5240" w:val="left"/>
          <w:tab w:leader="none" w:pos="6060" w:val="left"/>
        </w:tabs>
        <w:rPr>
          <w:sz w:val="20"/>
          <w:szCs w:val="20"/>
          <w:color w:val="auto"/>
        </w:rPr>
      </w:pPr>
      <w:r>
        <w:rPr>
          <w:rFonts w:ascii="Times New Roman" w:cs="Times New Roman" w:eastAsia="Times New Roman" w:hAnsi="Times New Roman"/>
          <w:sz w:val="21"/>
          <w:szCs w:val="21"/>
          <w:color w:val="auto"/>
        </w:rPr>
        <w:t>/s/ Steven Bloom</w:t>
      </w:r>
      <w:r>
        <w:rPr>
          <w:sz w:val="20"/>
          <w:szCs w:val="20"/>
          <w:color w:val="auto"/>
        </w:rPr>
        <w:tab/>
      </w: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2/19/2026</w:t>
      </w:r>
    </w:p>
    <w:p>
      <w:pPr>
        <w:spacing w:after="0" w:line="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Steven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68573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857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Exhibit A – General Release</w:t>
      </w:r>
    </w:p>
    <w:p>
      <w:pPr>
        <w:sectPr>
          <w:pgSz w:w="11900" w:h="16838" w:orient="portrait"/>
          <w:cols w:equalWidth="0" w:num="1">
            <w:col w:w="10600"/>
          </w:cols>
          <w:pgMar w:left="640" w:top="1440" w:right="659" w:bottom="1440" w:gutter="0" w:footer="0" w:header="0"/>
        </w:sectPr>
      </w:pPr>
    </w:p>
    <w:bookmarkStart w:id="116" w:name="page117"/>
    <w:bookmarkEnd w:id="116"/>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GENERAL RELEASE OF CLAIMS</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(TO BE SIGNED ON OR BEFORE FEBRUARY 19, 2026)</w:t>
      </w:r>
    </w:p>
    <w:p>
      <w:pPr>
        <w:spacing w:after="0" w:line="24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If I choose to timely sign and return this General Release of Claims (the “</w:t>
      </w:r>
      <w:r>
        <w:rPr>
          <w:rFonts w:ascii="Times New Roman" w:cs="Times New Roman" w:eastAsia="Times New Roman" w:hAnsi="Times New Roman"/>
          <w:sz w:val="21"/>
          <w:szCs w:val="21"/>
          <w:b w:val="1"/>
          <w:bCs w:val="1"/>
          <w:color w:val="auto"/>
        </w:rPr>
        <w:t>General Release</w:t>
      </w:r>
      <w:r>
        <w:rPr>
          <w:rFonts w:ascii="Times New Roman" w:cs="Times New Roman" w:eastAsia="Times New Roman" w:hAnsi="Times New Roman"/>
          <w:sz w:val="21"/>
          <w:szCs w:val="21"/>
          <w:color w:val="auto"/>
        </w:rPr>
        <w:t>”), Werewolf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will provide me with the benefits set forth in </w:t>
      </w:r>
      <w:r>
        <w:rPr>
          <w:rFonts w:ascii="Times New Roman" w:cs="Times New Roman" w:eastAsia="Times New Roman" w:hAnsi="Times New Roman"/>
          <w:sz w:val="21"/>
          <w:szCs w:val="21"/>
          <w:b w:val="1"/>
          <w:bCs w:val="1"/>
          <w:u w:val="single" w:color="auto"/>
          <w:color w:val="auto"/>
        </w:rPr>
        <w:t>Sections II, III and IV</w:t>
      </w:r>
      <w:r>
        <w:rPr>
          <w:rFonts w:ascii="Times New Roman" w:cs="Times New Roman" w:eastAsia="Times New Roman" w:hAnsi="Times New Roman"/>
          <w:sz w:val="21"/>
          <w:szCs w:val="21"/>
          <w:color w:val="auto"/>
        </w:rPr>
        <w:t xml:space="preserve"> of the Retention Agreement between me and the Company dated February 16, 2026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 understand that I am not entitled to such benefits unless I sign and return this General Release to the Company on or before February 19, 2026. Capitalized terms used in this General Release that are not defined herein shall have the meaning as defined in the Retention Agreement.</w:t>
      </w:r>
    </w:p>
    <w:p>
      <w:pPr>
        <w:spacing w:after="0" w:line="18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21"/>
          <w:szCs w:val="21"/>
          <w:b w:val="1"/>
          <w:bCs w:val="1"/>
          <w:color w:val="auto"/>
        </w:rPr>
        <w:t>General Release</w:t>
      </w:r>
      <w:r>
        <w:rPr>
          <w:rFonts w:ascii="Times New Roman" w:cs="Times New Roman" w:eastAsia="Times New Roman" w:hAnsi="Times New Roman"/>
          <w:sz w:val="21"/>
          <w:szCs w:val="21"/>
          <w:color w:val="auto"/>
        </w:rPr>
        <w:t>. In exchange for the consideration provided to me under the Agreement to which I would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otherwise be entitled, including but not limited to the benefits set forth in </w:t>
      </w:r>
      <w:r>
        <w:rPr>
          <w:rFonts w:ascii="Times New Roman" w:cs="Times New Roman" w:eastAsia="Times New Roman" w:hAnsi="Times New Roman"/>
          <w:sz w:val="21"/>
          <w:szCs w:val="21"/>
          <w:b w:val="1"/>
          <w:bCs w:val="1"/>
          <w:u w:val="single" w:color="auto"/>
          <w:color w:val="auto"/>
        </w:rPr>
        <w:t>Sections II, III and IV</w:t>
      </w:r>
      <w:r>
        <w:rPr>
          <w:rFonts w:ascii="Times New Roman" w:cs="Times New Roman" w:eastAsia="Times New Roman" w:hAnsi="Times New Roman"/>
          <w:sz w:val="21"/>
          <w:szCs w:val="21"/>
          <w:color w:val="auto"/>
        </w:rPr>
        <w:t xml:space="preserve"> of the Agreement, I (for me and for any person who may make a claim by or through me (including without limitation, any current or former spouse(s), dependents, heirs, assignees, executors, attorneys, or agents)) hereby generally and completely release the Company and its current and former predecessors, successors, parents, direct and indirect subsidiaries, affiliates, investors, and related entities (collectively, the “</w:t>
      </w:r>
      <w:r>
        <w:rPr>
          <w:rFonts w:ascii="Times New Roman" w:cs="Times New Roman" w:eastAsia="Times New Roman" w:hAnsi="Times New Roman"/>
          <w:sz w:val="21"/>
          <w:szCs w:val="21"/>
          <w:b w:val="1"/>
          <w:bCs w:val="1"/>
          <w:color w:val="auto"/>
        </w:rPr>
        <w:t>Entities</w:t>
      </w:r>
      <w:r>
        <w:rPr>
          <w:rFonts w:ascii="Times New Roman" w:cs="Times New Roman" w:eastAsia="Times New Roman" w:hAnsi="Times New Roman"/>
          <w:sz w:val="21"/>
          <w:szCs w:val="21"/>
          <w:color w:val="auto"/>
        </w:rPr>
        <w:t>”) and each of the Entities’ respective current and former directors, officers, employees, shareholders, partners, members, agents, attorneys, insurers, assigns, and employee benefit plans of and from any and all claims, liabilities, and obligations, both known and unknown, that arise out of or are in any way related to events, acts, conduct, or omissions occurring prior to or on the date I sign this General Release (collectively, the “</w:t>
      </w:r>
      <w:r>
        <w:rPr>
          <w:rFonts w:ascii="Times New Roman" w:cs="Times New Roman" w:eastAsia="Times New Roman" w:hAnsi="Times New Roman"/>
          <w:sz w:val="21"/>
          <w:szCs w:val="21"/>
          <w:b w:val="1"/>
          <w:bCs w:val="1"/>
          <w:color w:val="auto"/>
        </w:rPr>
        <w:t>Released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w:t>
      </w:r>
    </w:p>
    <w:p>
      <w:pPr>
        <w:spacing w:after="0" w:line="33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21"/>
          <w:szCs w:val="21"/>
          <w:b w:val="1"/>
          <w:bCs w:val="1"/>
          <w:color w:val="auto"/>
        </w:rPr>
        <w:t>Scope of Release</w:t>
      </w:r>
      <w:r>
        <w:rPr>
          <w:rFonts w:ascii="Times New Roman" w:cs="Times New Roman" w:eastAsia="Times New Roman" w:hAnsi="Times New Roman"/>
          <w:sz w:val="21"/>
          <w:szCs w:val="21"/>
          <w:color w:val="auto"/>
        </w:rPr>
        <w:t>. The Released Claims include, but are not limited to: (i) all claims arising out of or in any way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related to my employment with or services for any member of the Company, or the termination of that employment or those services; (ii) all claims or rights related to my compensation or benefits from the Company, including salary, bonuses, incentive compensation, commissions, paid time off, severance benefits pursuant to the Plan or otherwise, notice rights, transaction bonuses, fringe benefits, stock, stock options, restricted stock, units, or any other ownership interests in the Company; (iii) all claims for breach of contract (oral or written), wrongful termination, and breach of the implied covenant of good faith and fair dealing; (iv) all tort claims, including claims for fraud, inducement, misrepresentation, defamation, emotional distress, and discharge in violation of public policy; and (v) all constitutional, federal, state, and local statutory and common law claims, in each case, as amended, including, but not limited to, claims for discrimination, harassment, retaliation, interference, attorneys’ fees, and/or other claims arising under the federal Civil Rights Act of 1964, the federal Americans with Disabilities Act of 1990 and all similar state and local laws, the federal Family and Medical Leave Act and all similar state and local laws (the “</w:t>
      </w:r>
      <w:r>
        <w:rPr>
          <w:rFonts w:ascii="Times New Roman" w:cs="Times New Roman" w:eastAsia="Times New Roman" w:hAnsi="Times New Roman"/>
          <w:sz w:val="21"/>
          <w:szCs w:val="21"/>
          <w:b w:val="1"/>
          <w:bCs w:val="1"/>
          <w:color w:val="auto"/>
        </w:rPr>
        <w:t>FMLA</w:t>
      </w:r>
      <w:r>
        <w:rPr>
          <w:rFonts w:ascii="Times New Roman" w:cs="Times New Roman" w:eastAsia="Times New Roman" w:hAnsi="Times New Roman"/>
          <w:sz w:val="21"/>
          <w:szCs w:val="21"/>
          <w:color w:val="auto"/>
        </w:rPr>
        <w:t>”), the federal Equal Pay Act and all similar state and local laws, the federal Employee Retirement Income Security Act of 1974, the Federal Fair Credit Reporting Act and all similar state and local laws, the federal Worker Adjustment and Retraining Notification Act and all similar state and local laws, the Massachusetts Fair Employment Practices Act, the Massachusetts Equal Rights Act, the Massachusetts Wage Act, the Massachusetts Civil Rights Act, and any and all claims arising from or related to any other federal, state or local fair employment practices act, statute, code, regulation, and/or ordinance.</w:t>
      </w:r>
    </w:p>
    <w:p>
      <w:pPr>
        <w:sectPr>
          <w:pgSz w:w="11900" w:h="16838" w:orient="portrait"/>
          <w:cols w:equalWidth="0" w:num="1">
            <w:col w:w="10620"/>
          </w:cols>
          <w:pgMar w:left="640" w:top="1440" w:right="639" w:bottom="1440" w:gutter="0" w:footer="0" w:header="0"/>
        </w:sectPr>
      </w:pPr>
    </w:p>
    <w:bookmarkStart w:id="117" w:name="page118"/>
    <w:bookmarkEnd w:id="117"/>
    <w:p>
      <w:pPr>
        <w:jc w:val="both"/>
        <w:ind w:firstLine="636"/>
        <w:spacing w:after="0" w:line="263" w:lineRule="auto"/>
        <w:rPr>
          <w:sz w:val="20"/>
          <w:szCs w:val="20"/>
          <w:color w:val="auto"/>
        </w:rPr>
      </w:pPr>
      <w:r>
        <w:rPr>
          <w:rFonts w:ascii="Times New Roman" w:cs="Times New Roman" w:eastAsia="Times New Roman" w:hAnsi="Times New Roman"/>
          <w:sz w:val="21"/>
          <w:szCs w:val="21"/>
          <w:b w:val="1"/>
          <w:bCs w:val="1"/>
          <w:color w:val="auto"/>
        </w:rPr>
        <w:t>Excluded Claims</w:t>
      </w:r>
      <w:r>
        <w:rPr>
          <w:rFonts w:ascii="Times New Roman" w:cs="Times New Roman" w:eastAsia="Times New Roman" w:hAnsi="Times New Roman"/>
          <w:sz w:val="21"/>
          <w:szCs w:val="21"/>
          <w:color w:val="auto"/>
        </w:rPr>
        <w:t>. The Released Claims do not include (i) any rights to indemnification I may have pursuant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and conditions of the Company’s governing corporate documents, pursuant to any written indemnification agreement with the Company to which I am a party (if any), under applicable law, or pursuant to the terms and conditions of any directors and officers’ liability insurance policy of the Company; and (ii) any rights that are not waivable as a matter of law, including without limitation, any rights I may have to seek unemployment or workers’ compensation benefits.</w:t>
      </w:r>
    </w:p>
    <w:p>
      <w:pPr>
        <w:spacing w:after="0" w:line="55"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21"/>
          <w:szCs w:val="21"/>
          <w:b w:val="1"/>
          <w:bCs w:val="1"/>
          <w:color w:val="auto"/>
        </w:rPr>
        <w:t>Protected Rights</w:t>
      </w:r>
      <w:r>
        <w:rPr>
          <w:rFonts w:ascii="Times New Roman" w:cs="Times New Roman" w:eastAsia="Times New Roman" w:hAnsi="Times New Roman"/>
          <w:sz w:val="21"/>
          <w:szCs w:val="21"/>
          <w:color w:val="auto"/>
        </w:rPr>
        <w:t>. I understand that nothing in this General Release prevents me from filing a charge or complaint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Equal Employment Opportunity Commission, the National Labor Relations Board, the Occupational Safety and Health Administration, the Securities and Exchange Commission or any other federal, state or local governmental agency or commission (collectively, the “</w:t>
      </w:r>
      <w:r>
        <w:rPr>
          <w:rFonts w:ascii="Times New Roman" w:cs="Times New Roman" w:eastAsia="Times New Roman" w:hAnsi="Times New Roman"/>
          <w:sz w:val="21"/>
          <w:szCs w:val="21"/>
          <w:b w:val="1"/>
          <w:bCs w:val="1"/>
          <w:color w:val="auto"/>
        </w:rPr>
        <w:t>Government Agencies</w:t>
      </w:r>
      <w:r>
        <w:rPr>
          <w:rFonts w:ascii="Times New Roman" w:cs="Times New Roman" w:eastAsia="Times New Roman" w:hAnsi="Times New Roman"/>
          <w:sz w:val="21"/>
          <w:szCs w:val="21"/>
          <w:color w:val="auto"/>
        </w:rPr>
        <w:t>”). This General Release does not limit my ability to communicate with any Government Agencies or otherwise participate in any investigation or proceeding that may be conducted by any Government Agencies, including providing documents or other information, without notice to the Company. While this General Release does not limit my right to receive an award for information provided to the Securities and Exchange Commission or to receive a monetary award from a government-administered whistleblower award program, I understand and agree that, to maximum extent permitted by law, I am otherwise waiving any and all rights I may have to individual relief based on any claims that I have released and any rights I have waived by signing this General Release. Nothing in this General Release prevents me from discussing or disclosing employee wages, benefits or terms and conditions of employment, or information about unfair or unlawful acts or employment practices in the workplace, such as harassment or discrimination or any other conduct that I have reason to believe is unlawful. Additionally, I further acknowledge that the Company has advised me that I will not be held civilly or criminally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or (c) is made to an attorney or is used in a court proceeding in connection with a lawsuit alleging retaliation for reporting a suspected violation of law, provided that the trade secret is filed under seal and not disclosed except pursuant to court order.</w:t>
      </w:r>
    </w:p>
    <w:p>
      <w:pPr>
        <w:spacing w:after="0" w:line="19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21"/>
          <w:szCs w:val="21"/>
          <w:b w:val="1"/>
          <w:bCs w:val="1"/>
          <w:color w:val="auto"/>
        </w:rPr>
        <w:t>Representations</w:t>
      </w:r>
      <w:r>
        <w:rPr>
          <w:rFonts w:ascii="Times New Roman" w:cs="Times New Roman" w:eastAsia="Times New Roman" w:hAnsi="Times New Roman"/>
          <w:sz w:val="21"/>
          <w:szCs w:val="21"/>
          <w:color w:val="auto"/>
        </w:rPr>
        <w:t>. I hereby represent that, as of the date I execute this General Release: I have been paid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owed and for all time worked; I have received all the leave and leave benefits and protections for which I am eligible pursuant to FMLA or any applicable federal or state law or Company policy; and I have not suffered any on-the-job injury or illness for which I have not already filed a workers’ compensation claim. I further acknowledge and represent that:</w:t>
      </w:r>
    </w:p>
    <w:p>
      <w:pPr>
        <w:spacing w:after="0" w:line="1" w:lineRule="exact"/>
        <w:rPr>
          <w:sz w:val="20"/>
          <w:szCs w:val="20"/>
          <w:color w:val="auto"/>
        </w:rPr>
      </w:pPr>
    </w:p>
    <w:p>
      <w:pPr>
        <w:jc w:val="both"/>
        <w:ind w:firstLine="4"/>
        <w:spacing w:after="0" w:line="255" w:lineRule="auto"/>
        <w:tabs>
          <w:tab w:leader="none" w:pos="29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am not relying upon any statements, understandings, representations, expectations, or agreements other than those expressly set forth in the Agreement and General Release Agreement; (ii) I have made my own investigation of the facts and I am relying solely upon my own knowledge; (iii) I am knowingly waiving any claim that the Agreement or General Release were induced by any misrepresentation or nondisclosure; (iv) I have read and understand the terms and effect of the Agreement and General Release; and (v) I am knowingly and voluntarily agreeing to all of the terms set forth in the Agreement and General Release and to be bound by the Agreement and General Release.</w:t>
      </w:r>
    </w:p>
    <w:p>
      <w:pPr>
        <w:sectPr>
          <w:pgSz w:w="11900" w:h="16838" w:orient="portrait"/>
          <w:cols w:equalWidth="0" w:num="1">
            <w:col w:w="10620"/>
          </w:cols>
          <w:pgMar w:left="640" w:top="877" w:right="639" w:bottom="1440" w:gutter="0" w:footer="0" w:header="0"/>
        </w:sectPr>
      </w:pPr>
    </w:p>
    <w:bookmarkStart w:id="118" w:name="page119"/>
    <w:bookmarkEnd w:id="118"/>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Signature Page to General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I UNDERSTAND THAT THIS GENERAL RELEASE INCLUDES A RELEASE OF ALL KNOWN AND UNKNOWN CLAIMS, EVEN THOSE UNKNOWN CLAIMS THAT, IF KNOWN BY ME, WOULD AFFECT MY DECISION TO ACCEPT THIS GENERAL RELEASE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Agreed and Acknowledged: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/s/ Steven Bloom</w:t>
      </w:r>
    </w:p>
    <w:p>
      <w:pPr>
        <w:spacing w:after="0" w:line="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Steven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28606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
        <w:spacing w:after="0"/>
        <w:tabs>
          <w:tab w:leader="none" w:pos="800" w:val="left"/>
        </w:tabs>
        <w:rPr>
          <w:sz w:val="20"/>
          <w:szCs w:val="20"/>
          <w:color w:val="auto"/>
        </w:rPr>
      </w:pPr>
      <w:r>
        <w:rPr>
          <w:rFonts w:ascii="Times New Roman" w:cs="Times New Roman" w:eastAsia="Times New Roman" w:hAnsi="Times New Roman"/>
          <w:sz w:val="21"/>
          <w:szCs w:val="21"/>
          <w:color w:val="auto"/>
        </w:rPr>
        <w:t>Date:</w:t>
        <w:tab/>
        <w:t>2/19/2026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24130</wp:posOffset>
            </wp:positionV>
            <wp:extent cx="23977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ectPr>
          <w:pgSz w:w="11900" w:h="16838" w:orient="portrait"/>
          <w:cols w:equalWidth="0" w:num="1">
            <w:col w:w="10600"/>
          </w:cols>
          <w:pgMar w:left="640" w:top="1440" w:right="6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J. Hicklin, Ph.D., certify that:</w:t>
      </w:r>
    </w:p>
    <w:p>
      <w:pPr>
        <w:spacing w:after="0" w:line="177" w:lineRule="exact"/>
        <w:rPr>
          <w:sz w:val="20"/>
          <w:szCs w:val="20"/>
          <w:color w:val="auto"/>
        </w:rPr>
      </w:pPr>
    </w:p>
    <w:p>
      <w:pPr>
        <w:ind w:left="480" w:hanging="474"/>
        <w:spacing w:after="0"/>
        <w:tabs>
          <w:tab w:leader="none" w:pos="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Werewolf Therapeutics, Inc.;</w:t>
      </w:r>
    </w:p>
    <w:p>
      <w:pPr>
        <w:spacing w:after="0" w:line="190"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8"/>
          <w:szCs w:val="18"/>
          <w:color w:val="auto"/>
        </w:rPr>
      </w:pPr>
    </w:p>
    <w:p>
      <w:pPr>
        <w:ind w:left="480" w:hanging="474"/>
        <w:spacing w:after="0" w:line="274" w:lineRule="auto"/>
        <w:tabs>
          <w:tab w:leader="none" w:pos="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8"/>
          <w:szCs w:val="18"/>
          <w:color w:val="auto"/>
        </w:rPr>
      </w:pPr>
    </w:p>
    <w:p>
      <w:pPr>
        <w:jc w:val="both"/>
        <w:ind w:left="960" w:hanging="477"/>
        <w:spacing w:after="0" w:line="259" w:lineRule="auto"/>
        <w:tabs>
          <w:tab w:leader="none" w:pos="91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8"/>
          <w:szCs w:val="18"/>
          <w:color w:val="auto"/>
        </w:rPr>
      </w:pPr>
    </w:p>
    <w:p>
      <w:pPr>
        <w:jc w:val="both"/>
        <w:ind w:left="960" w:hanging="477"/>
        <w:spacing w:after="0" w:line="259" w:lineRule="auto"/>
        <w:tabs>
          <w:tab w:leader="none" w:pos="99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8"/>
          <w:szCs w:val="18"/>
          <w:color w:val="auto"/>
        </w:rPr>
      </w:pPr>
    </w:p>
    <w:p>
      <w:pPr>
        <w:ind w:left="960" w:hanging="477"/>
        <w:spacing w:after="0" w:line="274" w:lineRule="auto"/>
        <w:tabs>
          <w:tab w:leader="none" w:pos="101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jc w:val="both"/>
        <w:ind w:left="960" w:hanging="477"/>
        <w:spacing w:after="0" w:line="259" w:lineRule="auto"/>
        <w:tabs>
          <w:tab w:leader="none" w:pos="93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8"/>
          <w:szCs w:val="18"/>
          <w:color w:val="auto"/>
        </w:rPr>
      </w:pPr>
    </w:p>
    <w:p>
      <w:pPr>
        <w:ind w:left="480" w:hanging="474"/>
        <w:spacing w:after="0" w:line="274" w:lineRule="auto"/>
        <w:tabs>
          <w:tab w:leader="none" w:pos="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960" w:hanging="477"/>
        <w:spacing w:after="0" w:line="274" w:lineRule="auto"/>
        <w:tabs>
          <w:tab w:leader="none" w:pos="89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left="960" w:hanging="477"/>
        <w:spacing w:after="0" w:line="274" w:lineRule="auto"/>
        <w:tabs>
          <w:tab w:leader="none" w:pos="89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83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By:  /s/ Daniel J. Hicklin</w:t>
            </w:r>
          </w:p>
        </w:tc>
      </w:tr>
      <w:tr>
        <w:trPr>
          <w:trHeight w:val="213"/>
        </w:trPr>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J. Hicklin, Ph.D.</w:t>
            </w:r>
          </w:p>
        </w:tc>
      </w:tr>
      <w:tr>
        <w:trPr>
          <w:trHeight w:val="177"/>
        </w:trPr>
        <w:tc>
          <w:tcPr>
            <w:tcW w:w="2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7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1"/>
        </w:trPr>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86"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Urban, certify that:</w:t>
      </w:r>
    </w:p>
    <w:p>
      <w:pPr>
        <w:spacing w:after="0" w:line="177" w:lineRule="exact"/>
        <w:rPr>
          <w:sz w:val="20"/>
          <w:szCs w:val="20"/>
          <w:color w:val="auto"/>
        </w:rPr>
      </w:pPr>
    </w:p>
    <w:p>
      <w:pPr>
        <w:ind w:left="480" w:hanging="474"/>
        <w:spacing w:after="0"/>
        <w:tabs>
          <w:tab w:leader="none" w:pos="4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Werewolf Therapeutics, Inc.;</w:t>
      </w:r>
    </w:p>
    <w:p>
      <w:pPr>
        <w:spacing w:after="0" w:line="190"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8"/>
          <w:szCs w:val="18"/>
          <w:color w:val="auto"/>
        </w:rPr>
      </w:pPr>
    </w:p>
    <w:p>
      <w:pPr>
        <w:ind w:left="480" w:hanging="474"/>
        <w:spacing w:after="0" w:line="274" w:lineRule="auto"/>
        <w:tabs>
          <w:tab w:leader="none" w:pos="4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480" w:hanging="474"/>
        <w:spacing w:after="0" w:line="259" w:lineRule="auto"/>
        <w:tabs>
          <w:tab w:leader="none" w:pos="4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Times New Roman" w:cs="Times New Roman" w:eastAsia="Times New Roman" w:hAnsi="Times New Roman"/>
          <w:sz w:val="18"/>
          <w:szCs w:val="18"/>
          <w:color w:val="auto"/>
        </w:rPr>
      </w:pPr>
    </w:p>
    <w:p>
      <w:pPr>
        <w:jc w:val="both"/>
        <w:ind w:left="960" w:hanging="477"/>
        <w:spacing w:after="0" w:line="259" w:lineRule="auto"/>
        <w:tabs>
          <w:tab w:leader="none" w:pos="91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Times New Roman" w:cs="Times New Roman" w:eastAsia="Times New Roman" w:hAnsi="Times New Roman"/>
          <w:sz w:val="18"/>
          <w:szCs w:val="18"/>
          <w:color w:val="auto"/>
        </w:rPr>
      </w:pPr>
    </w:p>
    <w:p>
      <w:pPr>
        <w:jc w:val="both"/>
        <w:ind w:left="960" w:hanging="477"/>
        <w:spacing w:after="0" w:line="259" w:lineRule="auto"/>
        <w:tabs>
          <w:tab w:leader="none" w:pos="99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8" w:lineRule="exact"/>
        <w:rPr>
          <w:rFonts w:ascii="Times New Roman" w:cs="Times New Roman" w:eastAsia="Times New Roman" w:hAnsi="Times New Roman"/>
          <w:sz w:val="18"/>
          <w:szCs w:val="18"/>
          <w:color w:val="auto"/>
        </w:rPr>
      </w:pPr>
    </w:p>
    <w:p>
      <w:pPr>
        <w:ind w:left="960" w:hanging="477"/>
        <w:spacing w:after="0" w:line="274" w:lineRule="auto"/>
        <w:tabs>
          <w:tab w:leader="none" w:pos="101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jc w:val="both"/>
        <w:ind w:left="960" w:hanging="477"/>
        <w:spacing w:after="0" w:line="259" w:lineRule="auto"/>
        <w:tabs>
          <w:tab w:leader="none" w:pos="93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Times New Roman" w:cs="Times New Roman" w:eastAsia="Times New Roman" w:hAnsi="Times New Roman"/>
          <w:sz w:val="18"/>
          <w:szCs w:val="18"/>
          <w:color w:val="auto"/>
        </w:rPr>
      </w:pPr>
    </w:p>
    <w:p>
      <w:pPr>
        <w:ind w:left="480" w:hanging="474"/>
        <w:spacing w:after="0" w:line="274" w:lineRule="auto"/>
        <w:tabs>
          <w:tab w:leader="none" w:pos="4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960" w:hanging="477"/>
        <w:spacing w:after="0" w:line="274" w:lineRule="auto"/>
        <w:tabs>
          <w:tab w:leader="none" w:pos="89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left="960" w:hanging="477"/>
        <w:spacing w:after="0" w:line="274" w:lineRule="auto"/>
        <w:tabs>
          <w:tab w:leader="none" w:pos="89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83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By:  /s/ Michael Urban</w:t>
            </w:r>
          </w:p>
        </w:tc>
      </w:tr>
      <w:tr>
        <w:trPr>
          <w:trHeight w:val="213"/>
        </w:trPr>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Urban</w:t>
            </w:r>
          </w:p>
        </w:tc>
      </w:tr>
      <w:tr>
        <w:trPr>
          <w:trHeight w:val="177"/>
        </w:trPr>
        <w:tc>
          <w:tcPr>
            <w:tcW w:w="2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7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Vice President of Finance and Corporate Controller</w:t>
            </w:r>
          </w:p>
        </w:tc>
      </w:tr>
      <w:tr>
        <w:trPr>
          <w:trHeight w:val="231"/>
        </w:trPr>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086"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8" w:lineRule="exact"/>
        <w:rPr>
          <w:sz w:val="20"/>
          <w:szCs w:val="20"/>
          <w:color w:val="auto"/>
        </w:rPr>
      </w:pPr>
    </w:p>
    <w:p>
      <w:pPr>
        <w:jc w:val="both"/>
        <w:ind w:firstLine="433"/>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on Form 10-Q of Werewolf Therapeutics, Inc. (the “Company”) for the period ended March 31, 2026 as filed with the Securities and Exchange Commission on the date hereof (the “Report”), each of the undersigned officers of the Company hereby certifies, pursuant to 18 U.S.C. Section 1350, as adopted pursuant to Section 906 of the Sarbanes-Oxley Act of 2002, that to his knowledge:</w:t>
      </w:r>
    </w:p>
    <w:p>
      <w:pPr>
        <w:spacing w:after="0" w:line="138" w:lineRule="exact"/>
        <w:rPr>
          <w:sz w:val="20"/>
          <w:szCs w:val="20"/>
          <w:color w:val="auto"/>
        </w:rPr>
      </w:pPr>
    </w:p>
    <w:p>
      <w:pPr>
        <w:ind w:left="860" w:hanging="377"/>
        <w:spacing w:after="0"/>
        <w:tabs>
          <w:tab w:leader="none" w:pos="8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90" w:lineRule="exact"/>
        <w:rPr>
          <w:rFonts w:ascii="Times New Roman" w:cs="Times New Roman" w:eastAsia="Times New Roman" w:hAnsi="Times New Roman"/>
          <w:sz w:val="18"/>
          <w:szCs w:val="18"/>
          <w:color w:val="auto"/>
        </w:rPr>
      </w:pPr>
    </w:p>
    <w:p>
      <w:pPr>
        <w:ind w:left="860" w:hanging="377"/>
        <w:spacing w:after="0"/>
        <w:tabs>
          <w:tab w:leader="none" w:pos="8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1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J. Hicklin</w:t>
            </w:r>
          </w:p>
        </w:tc>
      </w:tr>
      <w:tr>
        <w:trPr>
          <w:trHeight w:val="213"/>
        </w:trPr>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J. Hicklin, Ph.D.</w:t>
            </w:r>
          </w:p>
        </w:tc>
      </w:tr>
      <w:tr>
        <w:trPr>
          <w:trHeight w:val="177"/>
        </w:trPr>
        <w:tc>
          <w:tcPr>
            <w:tcW w:w="2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7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1"/>
        </w:trPr>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7"/>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15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Urban</w:t>
            </w:r>
          </w:p>
        </w:tc>
      </w:tr>
      <w:tr>
        <w:trPr>
          <w:trHeight w:val="213"/>
        </w:trPr>
        <w:tc>
          <w:tcPr>
            <w:tcW w:w="2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Urban</w:t>
            </w:r>
          </w:p>
        </w:tc>
      </w:tr>
      <w:tr>
        <w:trPr>
          <w:trHeight w:val="177"/>
        </w:trPr>
        <w:tc>
          <w:tcPr>
            <w:tcW w:w="2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7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Vice President of Finance and Corporate Controller</w:t>
            </w:r>
          </w:p>
        </w:tc>
      </w:tr>
      <w:tr>
        <w:trPr>
          <w:trHeight w:val="231"/>
        </w:trPr>
        <w:tc>
          <w:tcPr>
            <w:tcW w:w="2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57"/>
        </w:trPr>
        <w:tc>
          <w:tcPr>
            <w:tcW w:w="2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7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1</w:t>
            </w:r>
          </w:p>
        </w:tc>
      </w:tr>
    </w:tbl>
    <w:p>
      <w:pPr>
        <w:spacing w:after="0" w:line="1" w:lineRule="exact"/>
        <w:rPr>
          <w:sz w:val="20"/>
          <w:szCs w:val="20"/>
          <w:color w:val="auto"/>
        </w:rPr>
      </w:pPr>
    </w:p>
    <w:sectPr>
      <w:pgSz w:w="11900" w:h="16838" w:orient="portrait"/>
      <w:cols w:equalWidth="0" w:num="1">
        <w:col w:w="11240"/>
      </w:cols>
      <w:pgMar w:left="320" w:top="10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lowerRoman"/>
      <w:start w:val="2"/>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1)"/>
      <w:numFmt w:val="lowerRoman"/>
      <w:start w:val="2"/>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1."/>
      <w:numFmt w:val="decimal"/>
      <w:start w:val="1"/>
    </w:lvl>
  </w:abstractNum>
  <w:abstractNum w:abstractNumId="49">
    <w:nsid w:val="579BE4F1"/>
    <w:multiLevelType w:val="hybridMultilevel"/>
    <w:lvl w:ilvl="0">
      <w:lvlJc w:val="left"/>
      <w:lvlText w:val="%1."/>
      <w:numFmt w:val="decimal"/>
      <w:start w:val="7"/>
    </w:lvl>
  </w:abstractNum>
  <w:abstractNum w:abstractNumId="50">
    <w:nsid w:val="310C50B3"/>
    <w:multiLevelType w:val="hybridMultilevel"/>
    <w:lvl w:ilvl="0">
      <w:lvlJc w:val="left"/>
      <w:lvlText w:val="%1."/>
      <w:numFmt w:val="decimal"/>
      <w:start w:val="15"/>
    </w:lvl>
  </w:abstractNum>
  <w:abstractNum w:abstractNumId="51">
    <w:nsid w:val="5FF87E05"/>
    <w:multiLevelType w:val="hybridMultilevel"/>
    <w:lvl w:ilvl="0">
      <w:lvlJc w:val="left"/>
      <w:lvlText w:val="%1."/>
      <w:numFmt w:val="decimal"/>
      <w:start w:val="2"/>
    </w:lvl>
  </w:abstractNum>
  <w:abstractNum w:abstractNumId="52">
    <w:nsid w:val="2F305DEF"/>
    <w:multiLevelType w:val="hybridMultilevel"/>
    <w:lvl w:ilvl="0">
      <w:lvlJc w:val="left"/>
      <w:lvlText w:val="%1."/>
      <w:numFmt w:val="upperLetter"/>
      <w:start w:val="9"/>
    </w:lvl>
  </w:abstractNum>
  <w:abstractNum w:abstractNumId="53">
    <w:nsid w:val="25A70BF7"/>
    <w:multiLevelType w:val="hybridMultilevel"/>
    <w:lvl w:ilvl="0">
      <w:lvlJc w:val="left"/>
      <w:lvlText w:val="%1."/>
      <w:numFmt w:val="upperLetter"/>
      <w:start w:val="35"/>
    </w:lvl>
  </w:abstractNum>
  <w:abstractNum w:abstractNumId="54">
    <w:nsid w:val="1DBABF00"/>
    <w:multiLevelType w:val="hybridMultilevel"/>
    <w:lvl w:ilvl="0">
      <w:lvlJc w:val="left"/>
      <w:lvlText w:val="%1."/>
      <w:numFmt w:val="upperLetter"/>
      <w:start w:val="61"/>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upperLetter"/>
      <w:start w:val="22"/>
    </w:lvl>
    <w:lvl w:ilvl="1">
      <w:lvlJc w:val="left"/>
      <w:lvlText w:val="(%2)"/>
      <w:numFmt w:val="lowerLetter"/>
      <w:start w:val="1"/>
    </w:lvl>
  </w:abstractNum>
  <w:abstractNum w:abstractNumId="57">
    <w:nsid w:val="1381823A"/>
    <w:multiLevelType w:val="hybridMultilevel"/>
    <w:lvl w:ilvl="0">
      <w:lvlJc w:val="left"/>
      <w:lvlText w:val="%1."/>
      <w:numFmt w:val="upperLetter"/>
      <w:start w:val="22"/>
    </w:lvl>
  </w:abstractNum>
  <w:abstractNum w:abstractNumId="58">
    <w:nsid w:val="5DB70AE5"/>
    <w:multiLevelType w:val="hybridMultilevel"/>
    <w:lvl w:ilvl="0">
      <w:lvlJc w:val="left"/>
      <w:lvlText w:val="(%1)"/>
      <w:numFmt w:val="lowerRoman"/>
      <w:start w:val="2"/>
    </w:lvl>
  </w:abstractNum>
  <w:abstractNum w:abstractNumId="59">
    <w:nsid w:val="100F8FCA"/>
    <w:multiLevelType w:val="hybridMultilevel"/>
    <w:lvl w:ilvl="0">
      <w:lvlJc w:val="left"/>
      <w:lvlText w:val="(%1)"/>
      <w:numFmt w:val="lowerRoman"/>
      <w:start w:val="1"/>
    </w:lvl>
  </w:abstractNum>
  <w:abstractNum w:abstractNumId="60">
    <w:nsid w:val="6590700B"/>
    <w:multiLevelType w:val="hybridMultilevel"/>
    <w:lvl w:ilvl="0">
      <w:lvlJc w:val="left"/>
      <w:lvlText w:val="%1."/>
      <w:numFmt w:val="upperLetter"/>
      <w:start w:val="9"/>
    </w:lvl>
  </w:abstractNum>
  <w:abstractNum w:abstractNumId="61">
    <w:nsid w:val="15014ACB"/>
    <w:multiLevelType w:val="hybridMultilevel"/>
    <w:lvl w:ilvl="0">
      <w:lvlJc w:val="left"/>
      <w:lvlText w:val="%1."/>
      <w:numFmt w:val="upperLetter"/>
      <w:start w:val="35"/>
    </w:lvl>
  </w:abstractNum>
  <w:abstractNum w:abstractNumId="62">
    <w:nsid w:val="5F5E7FD0"/>
    <w:multiLevelType w:val="hybridMultilevel"/>
    <w:lvl w:ilvl="0">
      <w:lvlJc w:val="left"/>
      <w:lvlText w:val="%1."/>
      <w:numFmt w:val="upperLetter"/>
      <w:start w:val="61"/>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upperLetter"/>
      <w:start w:val="22"/>
    </w:lvl>
    <w:lvl w:ilvl="1">
      <w:lvlJc w:val="left"/>
      <w:lvlText w:val="(%2)"/>
      <w:numFmt w:val="lowerLetter"/>
      <w:start w:val="1"/>
    </w:lvl>
  </w:abstractNum>
  <w:abstractNum w:abstractNumId="65">
    <w:nsid w:val="6B94764"/>
    <w:multiLevelType w:val="hybridMultilevel"/>
    <w:lvl w:ilvl="0">
      <w:lvlJc w:val="left"/>
      <w:lvlText w:val="%1."/>
      <w:numFmt w:val="upperLetter"/>
      <w:start w:val="22"/>
    </w:lvl>
  </w:abstractNum>
  <w:abstractNum w:abstractNumId="66">
    <w:nsid w:val="42C296BD"/>
    <w:multiLevelType w:val="hybridMultilevel"/>
    <w:lvl w:ilvl="0">
      <w:lvlJc w:val="left"/>
      <w:lvlText w:val="(%1)"/>
      <w:numFmt w:val="lowerRoman"/>
      <w:start w:val="1"/>
    </w:lvl>
  </w:abstractNum>
  <w:abstractNum w:abstractNumId="67">
    <w:nsid w:val="168E121F"/>
    <w:multiLevelType w:val="hybridMultilevel"/>
    <w:lvl w:ilvl="0">
      <w:lvlJc w:val="left"/>
      <w:lvlText w:val="%1."/>
      <w:numFmt w:val="upperLetter"/>
      <w:start w:val="9"/>
    </w:lvl>
  </w:abstractNum>
  <w:abstractNum w:abstractNumId="68">
    <w:nsid w:val="1EBA5D23"/>
    <w:multiLevelType w:val="hybridMultilevel"/>
    <w:lvl w:ilvl="0">
      <w:lvlJc w:val="left"/>
      <w:lvlText w:val="%1."/>
      <w:numFmt w:val="upperLetter"/>
      <w:start w:val="35"/>
    </w:lvl>
  </w:abstractNum>
  <w:abstractNum w:abstractNumId="69">
    <w:nsid w:val="661E3F1E"/>
    <w:multiLevelType w:val="hybridMultilevel"/>
    <w:lvl w:ilvl="0">
      <w:lvlJc w:val="left"/>
      <w:lvlText w:val="%1."/>
      <w:numFmt w:val="upperLetter"/>
      <w:start w:val="61"/>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upperLetter"/>
      <w:start w:val="22"/>
    </w:lvl>
    <w:lvl w:ilvl="1">
      <w:lvlJc w:val="left"/>
      <w:lvlText w:val="(%2)"/>
      <w:numFmt w:val="lowerLetter"/>
      <w:start w:val="1"/>
    </w:lvl>
  </w:abstractNum>
  <w:abstractNum w:abstractNumId="72">
    <w:nsid w:val="7BD3EE7B"/>
    <w:multiLevelType w:val="hybridMultilevel"/>
    <w:lvl w:ilvl="0">
      <w:lvlJc w:val="left"/>
      <w:lvlText w:val="%1."/>
      <w:numFmt w:val="upperLetter"/>
      <w:start w:val="22"/>
    </w:lvl>
  </w:abstractNum>
  <w:abstractNum w:abstractNumId="73">
    <w:nsid w:val="51D9C564"/>
    <w:multiLevelType w:val="hybridMultilevel"/>
    <w:lvl w:ilvl="0">
      <w:lvlJc w:val="left"/>
      <w:lvlText w:val="(%1)"/>
      <w:numFmt w:val="lowerRoman"/>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11" Type="http://schemas.openxmlformats.org/officeDocument/2006/relationships/hyperlink" Target="https://www.sec.gov/Archives/edgar/data/1785530/000119312521150361/d209398dex31.htm" TargetMode="External"/><Relationship Id="rId112" Type="http://schemas.openxmlformats.org/officeDocument/2006/relationships/hyperlink" Target="https://www.sec.gov/Archives/edgar/data/1785530/000119312525140727/d4920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2026-05-07T15:34:17Z</dcterms:created>
  <dcterms:modified xsi:type="dcterms:W3CDTF">2026-05-07T15:34:17Z</dcterms:modified>
</cp:coreProperties>
</file>