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WEREWOLF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3,654,307.00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3,654,307.00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3,654,307.00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3,654,307.00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3,654,307.00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3,654,307.00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3,654,307.00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3,654,307.00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3,654,307.00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7.5 %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3,411,559.00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3,411,559.00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3,411,559.00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WEREWOLF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 TALCOTT AVENUE, 2ND FLOOR, WATERTOWN, MASSACHUSETTS , 02472.</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Statement is amended and supplemented as follows: This Amendment No. 10 (this "Amendment No.</w:t>
      </w:r>
    </w:p>
    <w:p>
      <w:pPr>
        <w:spacing w:after="0" w:line="6" w:lineRule="exact"/>
        <w:rPr>
          <w:sz w:val="20"/>
          <w:szCs w:val="20"/>
          <w:color w:val="auto"/>
        </w:rPr>
      </w:pPr>
    </w:p>
    <w:p>
      <w:pPr>
        <w:jc w:val="both"/>
        <w:ind w:left="960" w:hanging="951"/>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10" or this "Schedule 13D/A") amends and supplements the statement on Schedule 13D originally filed with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Securities and Exchange Commission (the "SEC") on May 6, 2021, and amended on June 16, 2021, August 12, 2022, January 10, 2023, February 14, 2024, May 7, 2024, May 14, 2025, November 6, 2025, May 14, 2026 and June 15, 2026 (as amended, the "Statement") by the Reporting Persons. Unless otherwise defined herein, capitalized terms used in this Amendment No. 10 shall have the meanings ascribed to them in the Statement. Unless amended or supplemented below, the information in the Statement remains unchanged.</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This Schedule 13D/A is being filed on behalf of RA Capital Management, L.P. ("RA Capital"), Peter Kolchinsky, Rajeev Shah, and RA Capital Healthcare Fund, L.P. (the "Fund"), who are collectively referred to herein as the "Reporting Persons." The agreement among the Reporting Persons to file this Schedule 3D/A jointly in accordance with Rule 13d-1(k) of the Securities Exchange Act of 1934, as amended (the "Act"), is attached hereto as Exhibit</w:t>
      </w:r>
    </w:p>
    <w:p>
      <w:pPr>
        <w:spacing w:after="0" w:line="2" w:lineRule="exact"/>
        <w:rPr>
          <w:sz w:val="20"/>
          <w:szCs w:val="20"/>
          <w:color w:val="auto"/>
        </w:rPr>
      </w:pPr>
    </w:p>
    <w:p>
      <w:pPr>
        <w:ind w:left="920" w:right="60"/>
        <w:spacing w:after="0" w:line="241" w:lineRule="auto"/>
        <w:rPr>
          <w:sz w:val="20"/>
          <w:szCs w:val="20"/>
          <w:color w:val="auto"/>
        </w:rPr>
      </w:pPr>
      <w:r>
        <w:rPr>
          <w:rFonts w:ascii="Times New Roman" w:cs="Times New Roman" w:eastAsia="Times New Roman" w:hAnsi="Times New Roman"/>
          <w:sz w:val="21"/>
          <w:szCs w:val="21"/>
          <w:color w:val="auto"/>
        </w:rPr>
        <w:t>99.1. The Reporting Persons' ownership of the Issuer's securities includes (i) 3,411,559 shares of common stock held directly by the Fund and (ii) 242,748 shares of common stock held by RA Capital Nexus Fund II, L.P. (the "Nexus Fund II"). 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the Fund and the Nexus Fund II and may be deemed a beneficial owner, for purposes of Section 13(d) of the Securities Exchange Act of 1934 (the "Act"), of any securities of the Issuer held by the Fund or the Nexus Fund II.</w:t>
      </w:r>
    </w:p>
    <w:p>
      <w:pPr>
        <w:spacing w:after="0" w:line="4" w:lineRule="exact"/>
        <w:rPr>
          <w:sz w:val="20"/>
          <w:szCs w:val="20"/>
          <w:color w:val="auto"/>
        </w:rPr>
      </w:pPr>
    </w:p>
    <w:p>
      <w:pPr>
        <w:ind w:left="920" w:right="60" w:hanging="912"/>
        <w:spacing w:after="0" w:line="231" w:lineRule="auto"/>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 and the Nexus Fund II have delegated to RA Capital the sole power to vote and the sole power to dispose of all securities held in the Fund's and the Nexus Fund II's portfolio, including the shares of the Issuer's common stock reported herein. Because the Fund and the Nexus Fund II have divested themselves of voting and investment power over the reported securities they hold and may not revoke that delegation on less than 61 days' notice, the Fund and the Nexus Fund II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13D/A other than for the purpose of determining their obligations under Section 13(d) of the Act, and the filing of this Schedule 13D/A shall not be deemed an admission that either RA Capital, Dr. Kolchinsky, or Mr. Shah is the beneficial owner of such securities for any other purpose.</w:t>
      </w:r>
    </w:p>
    <w:p>
      <w:pPr>
        <w:spacing w:after="0" w:line="24"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private investment vehicle. RA Capital provides investment management services to the Fund and the Nexus Fund II. The principal occupation of Dr. Kolchinsky and Mr. Shah is investment management.</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80"/>
        <w:spacing w:after="0" w:line="253" w:lineRule="auto"/>
        <w:rPr>
          <w:sz w:val="20"/>
          <w:szCs w:val="20"/>
          <w:color w:val="auto"/>
        </w:rPr>
      </w:pPr>
      <w:r>
        <w:rPr>
          <w:rFonts w:ascii="Times New Roman" w:cs="Times New Roman" w:eastAsia="Times New Roman" w:hAnsi="Times New Roman"/>
          <w:sz w:val="21"/>
          <w:szCs w:val="21"/>
          <w:color w:val="auto"/>
        </w:rPr>
        <w:t>Rows 11 and 13 of each Reporting Person's cover page to this Schedule 13D/A set forth the aggregate number of shares of common stock and percentages of the shares of common stock beneficially owned by such Reporting</w:t>
      </w:r>
    </w:p>
    <w:p>
      <w:pPr>
        <w:spacing w:after="0" w:line="1" w:lineRule="exact"/>
        <w:rPr>
          <w:sz w:val="20"/>
          <w:szCs w:val="20"/>
          <w:color w:val="auto"/>
        </w:rPr>
      </w:pPr>
    </w:p>
    <w:p>
      <w:pPr>
        <w:ind w:left="920" w:right="80" w:hanging="912"/>
        <w:spacing w:after="0" w:line="235"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 and are incorporated by reference. The percentage set forth in each row 13 is based upon 48,596,817 shares of common stock outstanding as of May 1, 2026, as reported in the Issuer's Quarterly Report on Form 10-Q filed with the SEC on May 7, 2026.</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Rows 7 through 10 of each Reporting Person's cover page to this Schedule 13D/A set forth the number of shares of</w:t>
      </w:r>
    </w:p>
    <w:p>
      <w:pPr>
        <w:spacing w:after="0" w:line="14" w:lineRule="exact"/>
        <w:rPr>
          <w:rFonts w:ascii="Times New Roman" w:cs="Times New Roman" w:eastAsia="Times New Roman" w:hAnsi="Times New Roman"/>
          <w:sz w:val="22"/>
          <w:szCs w:val="22"/>
          <w:color w:val="auto"/>
        </w:rPr>
      </w:pPr>
    </w:p>
    <w:p>
      <w:pPr>
        <w:ind w:left="920" w:right="240" w:hanging="912"/>
        <w:spacing w:after="0" w:line="237"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as to which such Reporting Person has the sole or shared power to vote or direct the vote and sole or shared power to dispose or to direct the disposition and are incorporated by reference.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below, none of the Reporting Persons has effected any transactions with respect to the securities of</w:t>
      </w:r>
    </w:p>
    <w:p>
      <w:pPr>
        <w:sectPr>
          <w:pgSz w:w="11900" w:h="16838" w:orient="portrait"/>
          <w:cols w:equalWidth="0" w:num="1">
            <w:col w:w="11160"/>
          </w:cols>
          <w:pgMar w:left="360" w:top="110" w:right="379" w:bottom="0" w:gutter="0" w:footer="0" w:header="0"/>
        </w:sectPr>
      </w:pPr>
    </w:p>
    <w:bookmarkStart w:id="5" w:name="page6"/>
    <w:bookmarkEnd w:id="5"/>
    <w:p>
      <w:pPr>
        <w:ind w:left="920"/>
        <w:spacing w:after="0" w:line="247" w:lineRule="auto"/>
        <w:rPr>
          <w:sz w:val="20"/>
          <w:szCs w:val="20"/>
          <w:color w:val="auto"/>
        </w:rPr>
      </w:pPr>
      <w:r>
        <w:rPr>
          <w:rFonts w:ascii="Times New Roman" w:cs="Times New Roman" w:eastAsia="Times New Roman" w:hAnsi="Times New Roman"/>
          <w:sz w:val="21"/>
          <w:szCs w:val="21"/>
          <w:color w:val="auto"/>
        </w:rPr>
        <w:t>the Issuer since the most recent amendment to this Schedule 13D/A. Weighted Low High No. Average Price Price Transaction Seller Date Shares Price ($) ($) ($) Open Market Sale Fund 06/16/2026 139,686 0.37 0.36 0.39 Open Market Sale Nexus Fund II 06/16/2026 9,939 0.37 0.36 0.39 Open Market Sale Fund 06/17/2026 389,216 0.35 0.34 0.39 Open Market Sale Nexus Fund II 06/17/2026 27,695 0.35 0.34 0.39 Open Market Sale Fund 06/18/2026 712,372</w:t>
      </w:r>
    </w:p>
    <w:p>
      <w:pPr>
        <w:spacing w:after="0" w:line="2" w:lineRule="exact"/>
        <w:rPr>
          <w:sz w:val="20"/>
          <w:szCs w:val="20"/>
          <w:color w:val="auto"/>
        </w:rPr>
      </w:pPr>
    </w:p>
    <w:p>
      <w:pPr>
        <w:ind w:left="920" w:right="940"/>
        <w:spacing w:after="0" w:line="249" w:lineRule="auto"/>
        <w:rPr>
          <w:sz w:val="20"/>
          <w:szCs w:val="20"/>
          <w:color w:val="auto"/>
        </w:rPr>
      </w:pPr>
      <w:r>
        <w:rPr>
          <w:rFonts w:ascii="Times New Roman" w:cs="Times New Roman" w:eastAsia="Times New Roman" w:hAnsi="Times New Roman"/>
          <w:sz w:val="21"/>
          <w:szCs w:val="21"/>
          <w:color w:val="auto"/>
        </w:rPr>
        <w:t>0.36 0.34 0.37 Open Market Sale Nexus Fund II 06/18/2026 50,688 0.36 0.34 0.37 Open Market Sale Fund 06/22/2026 144,517 0.36 0.35 0.37 Open Market Sale Nexus Fund II 06/22/2026 10,283 0.36 0.35 0.37</w:t>
      </w:r>
    </w:p>
    <w:p>
      <w:pPr>
        <w:spacing w:after="0" w:line="15" w:lineRule="exact"/>
        <w:rPr>
          <w:sz w:val="20"/>
          <w:szCs w:val="20"/>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13D/A.</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Exhibit 99.1 Joint Filing Agreement (incorporated by reference to Exhibit 99.1 to the Reporting Persons' Schedule 13D/A filed with the SEC on May 14, 2025).</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06/22/2026</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2026-06-22T18:03:44Z</dcterms:created>
  <dcterms:modified xsi:type="dcterms:W3CDTF">2026-06-22T18:03:44Z</dcterms:modified>
</cp:coreProperties>
</file>