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1219d8k.htm"/>
      <w:bookmarkStart w:id="1" w:name="ksd14121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WEREWOLF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001-40366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82-3523180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303 Wyman Street, Suite 300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(617) 952-0555</w:t>
      </w:r>
    </w:p>
    <w:p>
      <w:pPr>
        <w:pStyle w:val="TextBody"/>
        <w:bidi w:val="0"/>
        <w:spacing w:before="240" w:after="0"/>
        <w:jc w:val="center"/>
        <w:rPr>
          <w:rFonts w:ascii="Times New Roman" w:hAnsi="Times New Roman"/>
          <w:b/>
          <w:sz w:val="20"/>
        </w:rPr>
      </w:pPr>
      <w:r>
        <w:rPr>
          <w:rFonts w:ascii="Times New Roman" w:hAnsi="Times New Roman"/>
          <w:b/>
          <w:sz w:val="20"/>
        </w:rPr>
        <w:t>200 Talcott Ave, 2nd Floor</w:t>
      </w:r>
    </w:p>
    <w:p>
      <w:pPr>
        <w:pStyle w:val="TextBody"/>
        <w:bidi w:val="0"/>
        <w:spacing w:before="0" w:after="0"/>
        <w:jc w:val="center"/>
        <w:rPr>
          <w:rFonts w:ascii="Times New Roman" w:hAnsi="Times New Roman"/>
          <w:b/>
          <w:sz w:val="20"/>
        </w:rPr>
      </w:pPr>
      <w:r>
        <w:rPr>
          <w:rFonts w:ascii="Times New Roman" w:hAnsi="Times New Roman"/>
          <w:b/>
          <w:sz w:val="20"/>
        </w:rPr>
        <w:t>Watertown, Massachusetts 02472</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00" w:type="dxa"/>
        <w:jc w:val="left"/>
        <w:tblInd w:w="0" w:type="dxa"/>
        <w:tblLayout w:type="fixed"/>
        <w:tblCellMar>
          <w:top w:w="0" w:type="dxa"/>
          <w:left w:w="0" w:type="dxa"/>
          <w:bottom w:w="0" w:type="dxa"/>
          <w:right w:w="0" w:type="dxa"/>
        </w:tblCellMar>
      </w:tblPr>
      <w:tblGrid>
        <w:gridCol w:w="4265"/>
        <w:gridCol w:w="60"/>
        <w:gridCol w:w="755"/>
        <w:gridCol w:w="60"/>
        <w:gridCol w:w="26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HOWL</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bookmarkStart w:id="2" w:name="Fact_7"/>
            <w:bookmarkEnd w:id="2"/>
            <w:r>
              <w:rPr/>
              <w:t>The Nasdaq Capital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14, 2026 (the “Closing”), Werewolf Therapeutics, Inc. (the “Company”) entered into an asset purchase agreement (the “Purchase Agreement”) with EMD Serono Research &amp; Development Institute Inc. (“EMD”), pursuant to which, and subject to the terms and conditions thereof, the Company sold to EMD (the “Asset Sale”) technology comprising (i) its pre-clinical INDUCER platform, including all patents and know-how related thereto, pre-clinical compounds and related intangible assets, and (ii) its INDUKINE platform, including certain patents, certain know-how related thereto, and pre-clinical compounds, excluding the clinical development programs for WTX-124 and WTX-330 (collectively, the “Transferred Assets”). The Company retains all rights necessary for the continued development of its WTX-124 and WTX-330 clinical programs.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Purchase Agreement and related ancillary agreements, in consideration for the Transferred Assets, EMD agreed to pay to the Company upfront consideration of $28.0 million and an additional $5.0 million upon the completion of the transfer of the Transferred Assets technology.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contains customary representations, warranties and covenants of each of the Company and EMD. The Purchase Agreement further provides that, subject to certain limitations, the Company and EMD will each indemnify the other for certain losses arising from such breaches of representations, warranties and covenants and liabilities allocated to such party pursuant to the terms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Purchase Agreement contains a non-competition covenant pursuant to which the Company agreed not to exploit certain compounds, products or programs claimed in the Transferred Intellectual Property (as defined in the Purchase Agreement) that are directed to the same tumor target as any Transferred Compound (as defined in the Purchase Agreement) for a period of twenty-four (24) months after the Closing, subject to customary exceptions for change of control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of the Purchase Agreement does not purport to be complete and is qualified in its entirety by reference to the terms and conditions of the Purchase Agreement, a copy of which the Company intends to file with a subsequent Securities and Exchange Commission report.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execution of the Purchase Agreement, on August 14, 2026 the Company entered into a license agreement (the “License Agreement”) with EMD pursuant to which EMD granted the Company an exclusive license to certain patents included in the Transferred Assets that enable the Company to exploit and perform clinical development programs for WTX-124 and WTX-330. </w:t>
      </w:r>
    </w:p>
    <w:p>
      <w:pPr>
        <w:pStyle w:val="TextBody"/>
        <w:bidi w:val="0"/>
        <w:spacing w:before="240" w:after="0"/>
        <w:jc w:val="left"/>
        <w:rPr>
          <w:rFonts w:ascii="Times New Roman" w:hAnsi="Times New Roman"/>
          <w:sz w:val="20"/>
        </w:rPr>
      </w:pPr>
      <w:r>
        <w:rPr>
          <w:rFonts w:ascii="Times New Roman" w:hAnsi="Times New Roman"/>
          <w:sz w:val="20"/>
        </w:rPr>
        <w:t xml:space="preserve">Additionally, under the License Agreement, EMD granted to the Company certain licenses to enable the Company to grant certain licenses to (i) Harpoon Therapeutics, Inc. (“Harpoon”) under that certain Second Amended and Restated Assignment and License Agreement between the Company and Harpoon dated December 20, 2019 (the “Harpoon License”) and (ii) Jazz Pharmaceuticals Ireland Limited (“Jazz”) under the Company’s existing license agreement with Jazz that was entered into in connection with that certain Asset Purchase Agreement dated as of May 7, 2026 by and between the Company and Jazz, under which the Company has granted a non-exclusive license to certain technology originally licensed to the Company under the Harpoon License.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of the License Agreement does not purport to be complete and is qualified in its entirety by reference to the full text of the License Agreement, a copy of which the Company intends to file with a subsequent Securities and Exchange Commission report.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29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453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60" w:type="dxa"/>
            <w:gridSpan w:val="3"/>
            <w:tcBorders/>
            <w:vAlign w:val="center"/>
          </w:tcPr>
          <w:p>
            <w:pPr>
              <w:pStyle w:val="TableContents"/>
              <w:bidi w:val="0"/>
              <w:spacing w:before="0" w:after="283"/>
              <w:jc w:val="left"/>
              <w:rPr>
                <w:b/>
              </w:rPr>
            </w:pPr>
            <w:r>
              <w:rPr>
                <w:b/>
              </w:rPr>
              <w:t>WEREWOLF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59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J. Hicklin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Daniel J. Hicklin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President, Chief Executive Officer and Director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929</Words>
  <Characters>5276</Characters>
  <CharactersWithSpaces>6196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