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0001609495</w:t>
            </w:r>
          </w:p>
        </w:tc>
        <w:tc>
          <w:tcPr>
            <w:tcW w:w="4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835"/>
        </w:trPr>
        <w:tc>
          <w:tcPr>
            <w:tcW w:w="6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8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8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80" w:type="dxa"/>
            <w:vAlign w:val="bottom"/>
          </w:tcPr>
          <w:p>
            <w:pPr>
              <w:spacing w:after="0"/>
              <w:rPr>
                <w:sz w:val="21"/>
                <w:szCs w:val="21"/>
                <w:color w:val="auto"/>
              </w:rPr>
            </w:pPr>
          </w:p>
        </w:tc>
        <w:tc>
          <w:tcPr>
            <w:tcW w:w="4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8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MPM Asset Management Investors BV2014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4479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3641.43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05/04/2021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4479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05/04/2021 Cash</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04/27/2026</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03/26/2026</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2026-04-27T17:01:09Z</dcterms:created>
  <dcterms:modified xsi:type="dcterms:W3CDTF">2026-04-27T17:01:09Z</dcterms:modified>
</cp:coreProperties>
</file>