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WEREWOLF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5,138,703.00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5,138,703.00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5,138,703.00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5,138,703.00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4,797,350.00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4,797,350.00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4,797,350.00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WEREWOLF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 TALCOTT AVENUE, 2ND FLOOR, WATERTOWN, MASSACHUSETTS , 02472.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Item 1 of the Statement is amended and supplemented as follows: This Amendment No. 9 (this "Amendment No. 9"</w:t>
      </w:r>
    </w:p>
    <w:p>
      <w:pPr>
        <w:spacing w:after="0" w:line="18" w:lineRule="exact"/>
        <w:rPr>
          <w:sz w:val="20"/>
          <w:szCs w:val="20"/>
          <w:color w:val="auto"/>
        </w:rPr>
      </w:pPr>
    </w:p>
    <w:p>
      <w:pPr>
        <w:jc w:val="both"/>
        <w:ind w:left="96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or this "Schedule 13D/A") amends and supplements the statement on Schedule 13D originally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Securities and Exchange Commission (the "SEC") on May 6, 2021, and amended on June 16, 2021, August 12, 2022, January 10, 2023, February 14, 2024, May 7, 2024, May 14, 2025, November 6, 2025 and May 14, 2026 (as amended, the "Statement") by the Reporting Persons. Unless otherwise defined herein, capitalized terms used in this Amendment No. 9 shall have the meanings ascribed to them in the Statement. Unless amended or supplemented below, the information in the Statement remains unchanged.</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This Schedule 13D/A is being filed on behalf of RA Capital Management, L.P. ("RA Capital"), Peter Kolchinsky, Rajeev Shah, and RA Capital Healthcare Fund, L.P. (the "Fund"), who are collectively referred to herein as the "Reporting Persons." The agreement among the Reporting Persons to file this Schedule 3D/A jointly in accordance with Rule 13d-1(k) of the Securities Exchange Act of 1934, as amended (the "Act"), is attached hereto as Exhibit</w:t>
      </w:r>
    </w:p>
    <w:p>
      <w:pPr>
        <w:spacing w:after="0" w:line="2"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99.1. The Reporting Persons' ownership of the Issuer's securities includes (i) 4,797,350 shares of common stock held directly by the Fund and (ii) 341,353 shares of common stock held by RA Capital Nexus Fund II, L.P. (the "Nexus Fund II"). 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or the Nexus Fund II.</w:t>
      </w:r>
    </w:p>
    <w:p>
      <w:pPr>
        <w:spacing w:after="0" w:line="4" w:lineRule="exact"/>
        <w:rPr>
          <w:sz w:val="20"/>
          <w:szCs w:val="20"/>
          <w:color w:val="auto"/>
        </w:rPr>
      </w:pPr>
    </w:p>
    <w:p>
      <w:pPr>
        <w:ind w:left="920" w:right="6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and the Nexus Fund II have delegated to RA Capital the sole power to vote and the sole power to dispose of all securities held in the Fund's and the Nexus Fund II's portfolio, including the shares of the Issuer's common stock reported herein. Because the Fund and the Nexus Fund II have divested themselves of voting and investment power over the reported securities they hold and may not revoke that delegation on less than 61 days' notice, the Fund and the Nexus Fund 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p>
      <w:pPr>
        <w:spacing w:after="0" w:line="2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II. The principal occupation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 are incorporated by reference. The percentage set forth in each row 13 is based upon 48,596,817 shares of common stock outstanding as of May 1, 2026, as reported in the Issuer's Quarterly Report on Form 10-Q filed with the SEC on May 7,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transactions with respect to the securities of the Issuer have been effected during the past sixty days by any</w:t>
      </w:r>
    </w:p>
    <w:p>
      <w:pPr>
        <w:sectPr>
          <w:pgSz w:w="11900" w:h="16838" w:orient="portrait"/>
          <w:cols w:equalWidth="0" w:num="1">
            <w:col w:w="11160"/>
          </w:cols>
          <w:pgMar w:left="360" w:top="110" w:right="379" w:bottom="0" w:gutter="0" w:footer="0" w:header="0"/>
        </w:sectPr>
      </w:pPr>
    </w:p>
    <w:bookmarkStart w:id="5" w:name="page6"/>
    <w:bookmarkEnd w:id="5"/>
    <w:p>
      <w:pPr>
        <w:ind w:left="920" w:right="780"/>
        <w:spacing w:after="0" w:line="256" w:lineRule="auto"/>
        <w:rPr>
          <w:sz w:val="20"/>
          <w:szCs w:val="20"/>
          <w:color w:val="auto"/>
        </w:rPr>
      </w:pPr>
      <w:r>
        <w:rPr>
          <w:rFonts w:ascii="Times New Roman" w:cs="Times New Roman" w:eastAsia="Times New Roman" w:hAnsi="Times New Roman"/>
          <w:sz w:val="22"/>
          <w:szCs w:val="22"/>
          <w:color w:val="auto"/>
        </w:rPr>
        <w:t>Reporting Person. The percentage ownership reported in this amendment reflect an increase in the number of outstanding shares of the Issuer.</w:t>
      </w:r>
    </w:p>
    <w:p>
      <w:pPr>
        <w:spacing w:after="0" w:line="1"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 the Issuer since the most recent amendment to this Schedule 13D/A. Weighted Low High No. Average Price Price Transaction Seller Date Shares Price ($) ($) ($) Open Market Sale Fund 06/09/2026 345,235 0.37 0.36 0.3791 Open Market Sale Nexus Fund II 06/09/2026 24,565 0.37 0.36 0.3791 Open Market Sale Fund 06/10/2026 42,872 0.37</w:t>
      </w:r>
    </w:p>
    <w:p>
      <w:pPr>
        <w:spacing w:after="0" w:line="2" w:lineRule="exact"/>
        <w:rPr>
          <w:sz w:val="20"/>
          <w:szCs w:val="20"/>
          <w:color w:val="auto"/>
        </w:rPr>
      </w:pPr>
    </w:p>
    <w:p>
      <w:pPr>
        <w:ind w:left="920" w:right="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0.3627 0.3791 Open Market Sale Nexus Fund II 06/10/2026 3,051 0.37 0.3627 0.3791 Open Market Sale Fund 06/11/2026 245,066 0.38 0.3636 0.3945 Open Market Sale Nexus Fund II 06/11/2026 17,437 0.38 0.3636 0.3945 Open Market Sale Fund 06/12/2026 159,119 0.40 0.3814 0.4129 Open Market Sale Nexus Fund II 06/12/2026 11,322 0.40 0.3814 0.4129 Open Market Sale Fund 06/15/2026 120,216 0.39 0.3757 0.3955 Open Market Sale Nexus Fund II 06/15/2026 8,554 0.39 0.3757 0.3955</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May 14,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2026-06-15T19:17:38Z</dcterms:created>
  <dcterms:modified xsi:type="dcterms:W3CDTF">2026-06-15T19:17:38Z</dcterms:modified>
</cp:coreProperties>
</file>