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EVNIN LUKE</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Werewolf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HOWL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MPM BIOIMPACT LLC</w:t>
            </w:r>
          </w:p>
        </w:tc>
        <w:tc>
          <w:tcPr>
            <w:tcW w:w="138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399 BOYLSTON STREET,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5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6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1200" w:type="dxa"/>
            <w:vAlign w:val="bottom"/>
            <w:tcBorders>
              <w:top w:val="single" w:sz="8" w:color="2C2C2C"/>
            </w:tcBorders>
            <w:gridSpan w:val="2"/>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tcPr>
          <w:p>
            <w:pPr>
              <w:spacing w:after="0"/>
              <w:rPr>
                <w:sz w:val="7"/>
                <w:szCs w:val="7"/>
                <w:color w:val="auto"/>
              </w:rPr>
            </w:pPr>
          </w:p>
        </w:tc>
        <w:tc>
          <w:tcPr>
            <w:tcW w:w="7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2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48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05/08/2026</w:t>
            </w: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0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305,741</w:t>
            </w:r>
            <w:r>
              <w:rPr>
                <w:rFonts w:ascii="Times New Roman" w:cs="Times New Roman" w:eastAsia="Times New Roman" w:hAnsi="Times New Roman"/>
                <w:sz w:val="22"/>
                <w:szCs w:val="22"/>
                <w:color w:val="008000"/>
                <w:w w:val="93"/>
                <w:vertAlign w:val="superscript"/>
              </w:rPr>
              <w:t>(2)</w:t>
            </w:r>
          </w:p>
        </w:tc>
        <w:tc>
          <w:tcPr>
            <w:tcW w:w="3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vMerge w:val="restart"/>
          </w:tcPr>
          <w:p>
            <w:pPr>
              <w:jc w:val="center"/>
              <w:ind w:left="95"/>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0.7</w:t>
            </w:r>
            <w:r>
              <w:rPr>
                <w:rFonts w:ascii="Times New Roman" w:cs="Times New Roman" w:eastAsia="Times New Roman" w:hAnsi="Times New Roman"/>
                <w:sz w:val="22"/>
                <w:szCs w:val="22"/>
                <w:color w:val="008000"/>
                <w:w w:val="91"/>
                <w:vertAlign w:val="superscript"/>
              </w:rPr>
              <w:t>(3)</w:t>
            </w:r>
          </w:p>
        </w:tc>
        <w:tc>
          <w:tcPr>
            <w:tcW w:w="15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1,273,008</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40"/>
              <w:spacing w:after="0"/>
              <w:rPr>
                <w:sz w:val="20"/>
                <w:szCs w:val="20"/>
                <w:color w:val="auto"/>
              </w:rPr>
            </w:pPr>
            <w:r>
              <w:rPr>
                <w:rFonts w:ascii="Times New Roman" w:cs="Times New Roman" w:eastAsia="Times New Roman" w:hAnsi="Times New Roman"/>
                <w:sz w:val="17"/>
                <w:szCs w:val="17"/>
                <w:color w:val="0000FF"/>
              </w:rPr>
              <w:t>05/11/2026</w:t>
            </w: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33,948</w:t>
            </w:r>
            <w:r>
              <w:rPr>
                <w:rFonts w:ascii="Times New Roman" w:cs="Times New Roman" w:eastAsia="Times New Roman" w:hAnsi="Times New Roman"/>
                <w:sz w:val="22"/>
                <w:szCs w:val="22"/>
                <w:color w:val="008000"/>
                <w:w w:val="93"/>
                <w:vertAlign w:val="superscript"/>
              </w:rPr>
              <w:t>(6)</w:t>
            </w:r>
          </w:p>
        </w:tc>
        <w:tc>
          <w:tcPr>
            <w:tcW w:w="3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top w:val="single" w:sz="8" w:color="2C2C2C"/>
            </w:tcBorders>
            <w:vMerge w:val="restart"/>
          </w:tcPr>
          <w:p>
            <w:pPr>
              <w:jc w:val="center"/>
              <w:ind w:left="95"/>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0.67</w:t>
            </w:r>
            <w:r>
              <w:rPr>
                <w:rFonts w:ascii="Times New Roman" w:cs="Times New Roman" w:eastAsia="Times New Roman" w:hAnsi="Times New Roman"/>
                <w:sz w:val="22"/>
                <w:szCs w:val="22"/>
                <w:color w:val="008000"/>
                <w:w w:val="92"/>
                <w:vertAlign w:val="superscript"/>
              </w:rPr>
              <w:t>(7)</w:t>
            </w:r>
          </w:p>
        </w:tc>
        <w:tc>
          <w:tcPr>
            <w:tcW w:w="1520" w:type="dxa"/>
            <w:vAlign w:val="bottom"/>
            <w:tcBorders>
              <w:top w:val="single" w:sz="8" w:color="2C2C2C"/>
            </w:tcBorders>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1,239,060</w:t>
            </w:r>
          </w:p>
        </w:tc>
        <w:tc>
          <w:tcPr>
            <w:tcW w:w="2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240"/>
              <w:spacing w:after="0"/>
              <w:rPr>
                <w:sz w:val="20"/>
                <w:szCs w:val="20"/>
                <w:color w:val="auto"/>
              </w:rPr>
            </w:pPr>
            <w:r>
              <w:rPr>
                <w:rFonts w:ascii="Times New Roman" w:cs="Times New Roman" w:eastAsia="Times New Roman" w:hAnsi="Times New Roman"/>
                <w:sz w:val="17"/>
                <w:szCs w:val="17"/>
                <w:color w:val="0000FF"/>
              </w:rPr>
              <w:t>05/12/2026</w:t>
            </w: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67,885</w:t>
            </w:r>
            <w:r>
              <w:rPr>
                <w:rFonts w:ascii="Times New Roman" w:cs="Times New Roman" w:eastAsia="Times New Roman" w:hAnsi="Times New Roman"/>
                <w:sz w:val="22"/>
                <w:szCs w:val="22"/>
                <w:color w:val="008000"/>
                <w:w w:val="93"/>
                <w:vertAlign w:val="superscript"/>
              </w:rPr>
              <w:t>(9)</w:t>
            </w:r>
          </w:p>
        </w:tc>
        <w:tc>
          <w:tcPr>
            <w:tcW w:w="3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top w:val="single" w:sz="8" w:color="2C2C2C"/>
            </w:tcBorders>
            <w:vMerge w:val="restart"/>
          </w:tcPr>
          <w:p>
            <w:pPr>
              <w:jc w:val="center"/>
              <w:ind w:left="75"/>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0.64</w:t>
            </w:r>
            <w:r>
              <w:rPr>
                <w:rFonts w:ascii="Times New Roman" w:cs="Times New Roman" w:eastAsia="Times New Roman" w:hAnsi="Times New Roman"/>
                <w:sz w:val="22"/>
                <w:szCs w:val="22"/>
                <w:color w:val="008000"/>
                <w:w w:val="91"/>
                <w:vertAlign w:val="superscript"/>
              </w:rPr>
              <w:t>(10)</w:t>
            </w:r>
          </w:p>
        </w:tc>
        <w:tc>
          <w:tcPr>
            <w:tcW w:w="1520" w:type="dxa"/>
            <w:vAlign w:val="bottom"/>
            <w:tcBorders>
              <w:top w:val="single" w:sz="8" w:color="2C2C2C"/>
            </w:tcBorders>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1,171,175</w:t>
            </w:r>
          </w:p>
        </w:tc>
        <w:tc>
          <w:tcPr>
            <w:tcW w:w="2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(4)(11)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jc w:val="center"/>
              <w:ind w:right="14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plan established pursuant to Rule 10b5-1 dated March 26, 2026.</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32,757 by MPM Asset Management LLC ("AM LLC"), 206,820 by MPM BioVentures 2014, L.P. ("BV 2014"), 13,795 by MPM BIoVentures 2014(B), L.P. ("BV 2014(B)"), 7,119 by MPM Asset Management Investors BV2014 LLC ("AM BV2014") and 45,250 by MPM Oncology Innovations Fund, L.P. ("MPM OIF").</w:t>
      </w:r>
    </w:p>
    <w:p>
      <w:pPr>
        <w:spacing w:after="0" w:line="7"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$0.6183 to $0.7668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MPM BioVentures 2014 GP LLC and MPM BioVentures 2014 LLC ("BV LLC") are the direct and indirect general partners of BV 2014 and BV 2014(B). BV LLC is the manager of AM BV2014. MPM Oncology Innovations Fund GP LLC ("MPM OIF GP") is the general partner of MPM OIF. Luke Evnin is a member of AM LLC, a Managing Director of BV LLC and a manager of MPM OIF GP. The Reporting Person disclaims beneficial ownership of the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136,390 by AM LLC, 861,140 by BV 2014, 57,435 by BV 2014(B), 29,638 by AM BV2014 and 188,405 by MPM OIF.</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3,637 by AM LLC, 22,965 by BV 2014, 1,532 by BV 2014(B), 790 by AM BV2014 and 5,024 by MPM OIF.</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$0.66 to $0.7002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132,753 by AM LLC, 838,175 by BV 2014, 55,903 by BV 2014(B), 28,848 by AM BV2014 and 183,381 by MPM OIF.</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7,273 by AM LLC, 45,921 by BV 2014, 3,063 by BV 2014(B), 1,581 by AM BV2014 and 10,047 by MPM OIF.</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$0.6286 to $0.66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125,480 by AM LLC, 792,254 by BV 2014, 52,840 by BV 2014(B), 27,267 by AM BV2014 and 173,334 by MPM OIF.</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Luke Evnin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05/12/2026</w:t>
            </w:r>
          </w:p>
        </w:tc>
      </w:tr>
      <w:tr>
        <w:trPr>
          <w:trHeight w:val="20"/>
        </w:trPr>
        <w:tc>
          <w:tcPr>
            <w:tcW w:w="10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54"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34657" TargetMode="External"/><Relationship Id="rId14" Type="http://schemas.openxmlformats.org/officeDocument/2006/relationships/hyperlink" Target="http://www.sec.gov/cgi-bin/browse-edgar?action=getcompany&amp;CIK=0001785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2026-05-12T18:49:13Z</dcterms:created>
  <dcterms:modified xsi:type="dcterms:W3CDTF">2026-05-12T18:49:13Z</dcterms:modified>
</cp:coreProperties>
</file>