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WEREWOLF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Peter Kolchinsky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RA Capital Management, L.P., 200 Berkeley Street, 18th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02116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617.778.2500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1,985,541.00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1,985,541.00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1,985,541.00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1,985,541.00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1,985,541.00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1,985,541.00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1,985,541.00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1,985,541.00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1,985,541.00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4.1 %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1,853,646.00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1,853,646.00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1,853,646.00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WEREWOLF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200 TALCOTT AVENUE, 2ND FLOOR, WATERTOWN, MASSACHUSETTS , 02472.</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Item 1 of the Statement is amended and supplemented as follows: This Amendment No. 12 (this "Amendment No.</w:t>
      </w:r>
    </w:p>
    <w:p>
      <w:pPr>
        <w:spacing w:after="0" w:line="6" w:lineRule="exact"/>
        <w:rPr>
          <w:sz w:val="20"/>
          <w:szCs w:val="20"/>
          <w:color w:val="auto"/>
        </w:rPr>
      </w:pPr>
    </w:p>
    <w:p>
      <w:pPr>
        <w:jc w:val="both"/>
        <w:ind w:left="960" w:hanging="951"/>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12" or this "Schedule 13D/A") amends and supplements the statement on Schedule 13D originally filed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Securities and Exchange Commission (the "SEC") on May 6, 2021, and amended on June 16, 2021, August 12, 2022, January 10, 2023, February 14, 2024, May 7, 2024, May 14, 2025, November 6, 2025, May 14, 2026, June 15, 2026, June 2, 2026 and June 26, 2026 (as amended, the "Statement") by the Reporting Persons. Unless otherwise defined herein, capitalized terms used in this Amendment No. 12 shall have the meanings ascribed to them in the Statement. Unless amended or supplemented below, the information in the Statement remains unchanged.</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This Schedule 13D/A is being filed on behalf of RA Capital Management, L.P. ("RA Capital"), Peter Kolchinsky, Rajeev Shah, and RA Capital Healthcare Fund, L.P. (the "Fund"), who are collectively referred to herein as the "Reporting Persons." The agreement among the Reporting Persons to file this Schedule 3D/A jointly in accordance with Rule 13d-1(k) of the Securities Exchange Act of 1934, as amended (the "Act"), is attached hereto as Exhibit</w:t>
      </w:r>
    </w:p>
    <w:p>
      <w:pPr>
        <w:spacing w:after="0" w:line="2" w:lineRule="exact"/>
        <w:rPr>
          <w:sz w:val="20"/>
          <w:szCs w:val="20"/>
          <w:color w:val="auto"/>
        </w:rPr>
      </w:pPr>
    </w:p>
    <w:p>
      <w:pPr>
        <w:ind w:left="920" w:right="60"/>
        <w:spacing w:after="0" w:line="241" w:lineRule="auto"/>
        <w:rPr>
          <w:sz w:val="20"/>
          <w:szCs w:val="20"/>
          <w:color w:val="auto"/>
        </w:rPr>
      </w:pPr>
      <w:r>
        <w:rPr>
          <w:rFonts w:ascii="Times New Roman" w:cs="Times New Roman" w:eastAsia="Times New Roman" w:hAnsi="Times New Roman"/>
          <w:sz w:val="21"/>
          <w:szCs w:val="21"/>
          <w:color w:val="auto"/>
        </w:rPr>
        <w:t>99.1. The Reporting Persons' ownership of the Issuer's securities includes (i) 1,853,646 shares of common stock held directly by the Fund and (ii)131,895 shares of common stock held by RA Capital Nexus Fund II, L.P. (the "Nexus Fund II"). RA Capital Healthcare Fund GP, LLC is the general partner of the Fund and RA Capital Nexus Fund II GP, LLC is the general partner of the Nexus Fund II. The general partner of RA Capital is RA Capital Management GP, LLC, of which Dr. Kolchinsky and Mr. Shah are the controlling persons. RA Capital serves as investment adviser for the Fund and the Nexus Fund II and may be deemed a beneficial owner, for purposes of Section 13(d) of the Securities Exchange Act of 1934 (the "Act"), of any securities of the Issuer held by the Fund or the Nexus Fund II.</w:t>
      </w:r>
    </w:p>
    <w:p>
      <w:pPr>
        <w:spacing w:after="0" w:line="4" w:lineRule="exact"/>
        <w:rPr>
          <w:sz w:val="20"/>
          <w:szCs w:val="20"/>
          <w:color w:val="auto"/>
        </w:rPr>
      </w:pPr>
    </w:p>
    <w:p>
      <w:pPr>
        <w:ind w:left="920" w:right="60" w:hanging="912"/>
        <w:spacing w:after="0" w:line="231"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Fund and the Nexus Fund II have delegated to RA Capital the sole power to vote and the sole power to dispose of all securities held in the Fund's and the Nexus Fund II's portfolio, including the shares of the Issuer's common stock reported herein. Because the Fund and the Nexus Fund II have divested themselves of voting and investment power over the reported securities they hold and may not revoke that delegation on less than 61 days' notice, the Fund and the Nexus Fund II disclaim beneficial ownership of the securities they hold for purposes of Section 13(d) of the Act and therefore disclaim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13D/A other than for the purpose of determining their obligations under Section 13(d) of the Act, and the filing of this Schedule 13D/A shall not be deemed an admission that either RA Capital, Dr. Kolchinsky, or Mr. Shah is the beneficial owner of such securities for any other purpose.</w:t>
      </w:r>
    </w:p>
    <w:p>
      <w:pPr>
        <w:spacing w:after="0" w:line="24" w:lineRule="exact"/>
        <w:rPr>
          <w:rFonts w:ascii="Times New Roman" w:cs="Times New Roman" w:eastAsia="Times New Roman" w:hAnsi="Times New Roman"/>
          <w:sz w:val="22"/>
          <w:szCs w:val="22"/>
          <w:color w:val="auto"/>
        </w:rPr>
      </w:pPr>
    </w:p>
    <w:p>
      <w:pPr>
        <w:ind w:left="920" w:right="5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office of each of the Reporting Persons is 200 Berkeley Street, 18th Floor, Boston, MA 02116.</w:t>
      </w:r>
    </w:p>
    <w:p>
      <w:pPr>
        <w:spacing w:after="0" w:line="17" w:lineRule="exact"/>
        <w:rPr>
          <w:rFonts w:ascii="Times New Roman" w:cs="Times New Roman" w:eastAsia="Times New Roman" w:hAnsi="Times New Roman"/>
          <w:sz w:val="39"/>
          <w:szCs w:val="39"/>
          <w:color w:val="auto"/>
          <w:vertAlign w:val="subscript"/>
        </w:rPr>
      </w:pPr>
    </w:p>
    <w:p>
      <w:pPr>
        <w:ind w:left="920" w:right="2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Fund is a private investment vehicle. RA Capital provides investment management services to the Fund and the Nexus Fund II. The principal occupation of Dr. Kolchinsky and Mr. Shah is investment management.</w:t>
      </w:r>
    </w:p>
    <w:p>
      <w:pPr>
        <w:spacing w:after="0" w:line="17" w:lineRule="exact"/>
        <w:rPr>
          <w:rFonts w:ascii="Times New Roman" w:cs="Times New Roman" w:eastAsia="Times New Roman" w:hAnsi="Times New Roman"/>
          <w:sz w:val="39"/>
          <w:szCs w:val="39"/>
          <w:color w:val="auto"/>
          <w:vertAlign w:val="subscript"/>
        </w:rPr>
      </w:pPr>
    </w:p>
    <w:p>
      <w:pPr>
        <w:ind w:left="920" w:right="5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6 of the cover pages.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80"/>
        <w:spacing w:after="0" w:line="253" w:lineRule="auto"/>
        <w:rPr>
          <w:sz w:val="20"/>
          <w:szCs w:val="20"/>
          <w:color w:val="auto"/>
        </w:rPr>
      </w:pPr>
      <w:r>
        <w:rPr>
          <w:rFonts w:ascii="Times New Roman" w:cs="Times New Roman" w:eastAsia="Times New Roman" w:hAnsi="Times New Roman"/>
          <w:sz w:val="21"/>
          <w:szCs w:val="21"/>
          <w:color w:val="auto"/>
        </w:rPr>
        <w:t>Rows 11 and 13 of each Reporting Person's cover page to this Schedule 13D/A set forth the aggregate number of shares of common stock and percentages of the shares of common stock beneficially owned by such Reporting</w:t>
      </w:r>
    </w:p>
    <w:p>
      <w:pPr>
        <w:spacing w:after="0" w:line="1" w:lineRule="exact"/>
        <w:rPr>
          <w:sz w:val="20"/>
          <w:szCs w:val="20"/>
          <w:color w:val="auto"/>
        </w:rPr>
      </w:pPr>
    </w:p>
    <w:p>
      <w:pPr>
        <w:ind w:left="920" w:right="80" w:hanging="912"/>
        <w:spacing w:after="0" w:line="235"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and are incorporated by reference. The percentage set forth in each row 13 is based upon 48,596,817 shares of common stock outstanding as of May 1, 2026, as reported in the Issuer's Quarterly Report on Form 10-Q filed with the SEC on May 7, 2026.</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Rows 7 through 10 of each Reporting Person's cover page to this Schedule 13D/A set forth the number of shares of</w:t>
      </w:r>
    </w:p>
    <w:p>
      <w:pPr>
        <w:spacing w:after="0" w:line="14" w:lineRule="exact"/>
        <w:rPr>
          <w:rFonts w:ascii="Times New Roman" w:cs="Times New Roman" w:eastAsia="Times New Roman" w:hAnsi="Times New Roman"/>
          <w:sz w:val="22"/>
          <w:szCs w:val="22"/>
          <w:color w:val="auto"/>
        </w:rPr>
      </w:pPr>
    </w:p>
    <w:p>
      <w:pPr>
        <w:ind w:left="920" w:right="240" w:hanging="912"/>
        <w:spacing w:after="0" w:line="237"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as to which such Reporting Person has the sole or shared power to vote or direct the vote and sole or shared power to dispose or to direct the disposition and are incorporated by reference.</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below, none of the Reporting Persons has effected any transactions with respect to the securities of</w:t>
      </w:r>
    </w:p>
    <w:p>
      <w:pPr>
        <w:sectPr>
          <w:pgSz w:w="11900" w:h="16838" w:orient="portrait"/>
          <w:cols w:equalWidth="0" w:num="1">
            <w:col w:w="11160"/>
          </w:cols>
          <w:pgMar w:left="360" w:top="110" w:right="379" w:bottom="0" w:gutter="0" w:footer="0" w:header="0"/>
        </w:sectPr>
      </w:pPr>
    </w:p>
    <w:bookmarkStart w:id="5" w:name="page6"/>
    <w:bookmarkEnd w:id="5"/>
    <w:p>
      <w:pPr>
        <w:ind w:left="920"/>
        <w:spacing w:after="0" w:line="247" w:lineRule="auto"/>
        <w:rPr>
          <w:sz w:val="20"/>
          <w:szCs w:val="20"/>
          <w:color w:val="auto"/>
        </w:rPr>
      </w:pPr>
      <w:r>
        <w:rPr>
          <w:rFonts w:ascii="Times New Roman" w:cs="Times New Roman" w:eastAsia="Times New Roman" w:hAnsi="Times New Roman"/>
          <w:sz w:val="21"/>
          <w:szCs w:val="21"/>
          <w:color w:val="auto"/>
        </w:rPr>
        <w:t>the Issuer since the most recent amendment to this Schedule 13D/A. Weighted Low High No. Average Price Price Transaction Seller Date Shares Price ($) ($) ($) Open Market Sale Fund 06/29/2026 158,168 0.30 0.30 0.31 Open Market Sale Nexus Fund II 06/29/2026 11,254 0.30 0.30 0.31 Open Market Sale Fund 06/30/2026 340,677 0.34 0.30 0.36 Open Market Sale Nexus Fund II 06/30/2026 24,241 0.34 0.30 0.36 Open Market Sale Fund 07/01/2026 214,707</w:t>
      </w:r>
    </w:p>
    <w:p>
      <w:pPr>
        <w:spacing w:after="0" w:line="2" w:lineRule="exact"/>
        <w:rPr>
          <w:sz w:val="20"/>
          <w:szCs w:val="20"/>
          <w:color w:val="auto"/>
        </w:rPr>
      </w:pPr>
    </w:p>
    <w:p>
      <w:pPr>
        <w:ind w:left="920" w:right="940"/>
        <w:spacing w:after="0" w:line="249" w:lineRule="auto"/>
        <w:rPr>
          <w:sz w:val="20"/>
          <w:szCs w:val="20"/>
          <w:color w:val="auto"/>
        </w:rPr>
      </w:pPr>
      <w:r>
        <w:rPr>
          <w:rFonts w:ascii="Times New Roman" w:cs="Times New Roman" w:eastAsia="Times New Roman" w:hAnsi="Times New Roman"/>
          <w:sz w:val="21"/>
          <w:szCs w:val="21"/>
          <w:color w:val="auto"/>
        </w:rPr>
        <w:t>0.36 0.35 0.37 Open Market Sale Nexus Fund II 07/01/2026 15,277 0.36 0.35 0.37 Open Market Sale Fund 07/02/2026 160,779 0.34 0.33 0.36 Open Market Sale Nexus Fund II 07/02/2026 11,440 0.34 0.33 0.36</w:t>
      </w:r>
    </w:p>
    <w:p>
      <w:pPr>
        <w:spacing w:after="0" w:line="15" w:lineRule="exact"/>
        <w:rPr>
          <w:sz w:val="20"/>
          <w:szCs w:val="20"/>
          <w:color w:val="auto"/>
        </w:rPr>
      </w:pPr>
    </w:p>
    <w:p>
      <w:pPr>
        <w:ind w:left="920" w:right="2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the proceeds from the sale of, the shares of common stock subject to this 13D/A.</w:t>
      </w:r>
    </w:p>
    <w:p>
      <w:pPr>
        <w:spacing w:after="0" w:line="17" w:lineRule="exact"/>
        <w:rPr>
          <w:rFonts w:ascii="Times New Roman" w:cs="Times New Roman" w:eastAsia="Times New Roman" w:hAnsi="Times New Roman"/>
          <w:sz w:val="39"/>
          <w:szCs w:val="39"/>
          <w:color w:val="auto"/>
          <w:vertAlign w:val="subscript"/>
        </w:rPr>
      </w:pPr>
    </w:p>
    <w:p>
      <w:pPr>
        <w:ind w:left="920" w:right="60" w:hanging="912"/>
        <w:spacing w:after="0"/>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ceased to be the beneficial owners of more than five percent of the common stock on June 30, 2026.</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Exhibit 99.1 Joint Filing Agreement (incorporated by reference to Exhibit 99.1 to the Reporting Persons' Schedule 13D/A filed with the SEC on May 14, 2025).</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2026-07-02T19:29:11Z</dcterms:created>
  <dcterms:modified xsi:type="dcterms:W3CDTF">2026-07-02T19:29:11Z</dcterms:modified>
</cp:coreProperties>
</file>