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82026_090715.xml.htm"/>
      <w:bookmarkStart w:id="1" w:name="ksform407082026_0907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EVNIN LUKE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MPM BIOIMPACT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BOYLSTON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Werewolf Therapeutics, Inc.</w:t>
              </w:r>
            </w:hyperlink>
            <w:r>
              <w:rPr/>
              <w:t xml:space="preserve"> [ </w:t>
            </w:r>
            <w:r>
              <w:rPr>
                <w:rFonts w:ascii="Times;serif" w:hAnsi="Times;serif"/>
                <w:color w:val="0000FF"/>
                <w:sz w:val="24"/>
                <w:shd w:fill="FFFFFF" w:val="clear"/>
              </w:rPr>
              <w:t>HOWL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55"/>
        <w:gridCol w:w="431"/>
        <w:gridCol w:w="702"/>
        <w:gridCol w:w="1129"/>
        <w:gridCol w:w="974"/>
        <w:gridCol w:w="11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35,770</w:t>
            </w:r>
            <w:r>
              <w:rPr>
                <w:rFonts w:ascii="Times;serif" w:hAnsi="Times;serif"/>
                <w:color w:val="008000"/>
                <w:position w:val="7"/>
                <w:sz w:val="16"/>
                <w:sz w:val="20"/>
                <w:shd w:fill="FFFFFF" w:val="clear"/>
              </w:rPr>
              <w:t>(2)</w:t>
            </w:r>
            <w:r>
              <w:rPr/>
              <w:t xml:space="preserve"> </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0.32</w:t>
            </w: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107,429</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r>
              <w:rPr/>
              <w:t xml:space="preserve"> </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107,429</w:t>
            </w:r>
            <w:r>
              <w:rPr>
                <w:rFonts w:ascii="Times;serif" w:hAnsi="Times;serif"/>
                <w:color w:val="008000"/>
                <w:position w:val="7"/>
                <w:sz w:val="16"/>
                <w:sz w:val="20"/>
                <w:shd w:fill="FFFFFF" w:val="clear"/>
              </w:rPr>
              <w:t>(6)</w:t>
            </w:r>
            <w:r>
              <w:rPr/>
              <w:t xml:space="preserve"> </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0.31</w:t>
            </w:r>
            <w:r>
              <w:rPr>
                <w:rFonts w:ascii="Times;serif" w:hAnsi="Times;serif"/>
                <w:color w:val="008000"/>
                <w:position w:val="7"/>
                <w:sz w:val="16"/>
                <w:sz w:val="20"/>
                <w:shd w:fill="FFFFFF" w:val="clear"/>
              </w:rPr>
              <w:t>(7)</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(4)(8)</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effected pursuant to a plan established pursuant to Rule 10b5-1 dated March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as follows: 3,832 by MPM Asset Management LLC ("AM LLC"), 24,197 by MPM BioVentures 2014, L.P. ("BV 2014"), 1,614 by MPM BIoVentures 2014(B), L.P. ("BV 2014(B)"), 833 by MPM Asset Management Investors BV2014 LLC ("AM BV2014") and 5,294 by MPM Oncology Innovations Fund, L.P. ("MPM OIF").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$0.3128 to $0.3388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MPM BioVentures 2014 GP LLC and MPM BioVentures 2014 LLC ("BV LLC") are the direct and indirect general partners of BV 2014 and BV 2014(B). BV LLC is the manager of AM BV2014. MPM Oncology Innovations Fund GP LLC ("MPM OIF GP") is the general partner of MPM OIF. Luke Evnin is a member of AM LLC, a Managing Director of BV LLC and a manager of MPM OIF GP. The Reporting Person disclaims beneficial ownership of the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as follows: 11,509 by AM LLC, 72,676 by BV 2014, 4,845 by BV 2014(B), 2,499 by AM BV2014 and 15,900 by MPM OIF.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were sold as follows: 11,509 by AM LLC, 72,676 by BV 2014, 4,845 by BV 2014(B), 2,499 by AM BV2014 and 15,900 by MPM OIF.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$0.295 to $0.3342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No shares held by AM LLC, BV 2014, BV 2014(B), AM BV2014 and MPM OIF.</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Evnin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34657" TargetMode="External"/><Relationship Id="rId5" Type="http://schemas.openxmlformats.org/officeDocument/2006/relationships/hyperlink" Target="http://www.sec.gov/cgi-bin/browse-edgar?action=getcompany&amp;CIK=0001785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947</Words>
  <Characters>4891</Characters>
  <CharactersWithSpaces>5768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